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AA" w:rsidRPr="00977D60" w:rsidRDefault="008353AA" w:rsidP="001730E4">
      <w:pPr>
        <w:spacing w:after="0" w:line="360" w:lineRule="auto"/>
        <w:rPr>
          <w:rFonts w:ascii="Times New Roman" w:hAnsi="Times New Roman" w:cs="Times New Roman"/>
          <w:b/>
        </w:rPr>
      </w:pPr>
      <w:bookmarkStart w:id="0" w:name="_GoBack"/>
      <w:bookmarkEnd w:id="0"/>
      <w:proofErr w:type="gramStart"/>
      <w:r w:rsidRPr="00977D60">
        <w:rPr>
          <w:rFonts w:ascii="Times New Roman" w:hAnsi="Times New Roman" w:cs="Times New Roman"/>
          <w:b/>
        </w:rPr>
        <w:t>Text S1.</w:t>
      </w:r>
      <w:proofErr w:type="gramEnd"/>
      <w:r w:rsidRPr="00977D60">
        <w:rPr>
          <w:rFonts w:ascii="Times New Roman" w:hAnsi="Times New Roman" w:cs="Times New Roman"/>
          <w:b/>
        </w:rPr>
        <w:t xml:space="preserve"> Similar microenvironments bind similar fragments</w:t>
      </w:r>
    </w:p>
    <w:p w:rsidR="008353AA" w:rsidRPr="00977D60" w:rsidRDefault="008353AA" w:rsidP="001730E4">
      <w:pPr>
        <w:spacing w:after="0" w:line="360" w:lineRule="auto"/>
        <w:rPr>
          <w:rFonts w:ascii="Times New Roman" w:hAnsi="Times New Roman" w:cs="Times New Roman"/>
          <w:i/>
        </w:rPr>
      </w:pPr>
      <w:r w:rsidRPr="00977D60">
        <w:rPr>
          <w:rFonts w:ascii="Times New Roman" w:hAnsi="Times New Roman" w:cs="Times New Roman"/>
        </w:rPr>
        <w:t>The utility of the knowledge base lies in the assumption that similar microenvironments will prefer to bind similar fragments. We validate this by generating fragment predictions for each microenvironment in the non-redundant knowledge base using fragment information from the nearest neighbor microenvironments (</w:t>
      </w:r>
      <w:r w:rsidRPr="00977D60">
        <w:rPr>
          <w:rFonts w:ascii="Times New Roman" w:hAnsi="Times New Roman" w:cs="Times New Roman"/>
          <w:color w:val="E36C0A" w:themeColor="accent6" w:themeShade="BF"/>
        </w:rPr>
        <w:t xml:space="preserve">see </w:t>
      </w:r>
      <w:r w:rsidRPr="00977D60">
        <w:rPr>
          <w:rFonts w:ascii="Times New Roman" w:hAnsi="Times New Roman" w:cs="Times New Roman"/>
          <w:i/>
          <w:color w:val="E36C0A" w:themeColor="accent6" w:themeShade="BF"/>
        </w:rPr>
        <w:t>Performance of Fragment Prediction for Single Microenvironments</w:t>
      </w:r>
      <w:r w:rsidRPr="00977D60">
        <w:rPr>
          <w:rFonts w:ascii="Times New Roman" w:hAnsi="Times New Roman" w:cs="Times New Roman"/>
        </w:rPr>
        <w:t>). We find a microenvironment tends to bind the same fragments as its nearest neighbors, often with the most significant predicted fragment matching the ligand bound. Using these predictions, we calculate a precision recall curve for each microenvironment type and measure performance using the area under the precision recall curve (AUPR). An AUPR approaching 1.0 indicates correct fragment predictions for each microenvironment. We observe reasonable performance with an average AUPR of 0.64 (</w:t>
      </w:r>
      <w:r w:rsidRPr="00977D60">
        <w:rPr>
          <w:rFonts w:ascii="Times New Roman" w:hAnsi="Times New Roman" w:cs="Times New Roman"/>
          <w:color w:val="E36C0A" w:themeColor="accent6" w:themeShade="BF"/>
        </w:rPr>
        <w:t>Figure S</w:t>
      </w:r>
      <w:r w:rsidR="00B16815">
        <w:rPr>
          <w:rFonts w:ascii="Times New Roman" w:hAnsi="Times New Roman" w:cs="Times New Roman"/>
          <w:color w:val="E36C0A" w:themeColor="accent6" w:themeShade="BF"/>
        </w:rPr>
        <w:t>5</w:t>
      </w:r>
      <w:r w:rsidR="009A32FC" w:rsidRPr="00977D60">
        <w:rPr>
          <w:rFonts w:ascii="Times New Roman" w:hAnsi="Times New Roman" w:cs="Times New Roman"/>
          <w:color w:val="E36C0A" w:themeColor="accent6" w:themeShade="BF"/>
        </w:rPr>
        <w:t>C</w:t>
      </w:r>
      <w:r w:rsidRPr="00977D60">
        <w:rPr>
          <w:rFonts w:ascii="Times New Roman" w:hAnsi="Times New Roman" w:cs="Times New Roman"/>
        </w:rPr>
        <w:t>). Thus, protein regions of similar physicochemical properties as captured by microenvironments prefer to bind similar fragments.</w:t>
      </w:r>
    </w:p>
    <w:p w:rsidR="008353AA" w:rsidRPr="00977D60" w:rsidRDefault="008353AA" w:rsidP="001730E4">
      <w:pPr>
        <w:spacing w:after="0" w:line="360" w:lineRule="auto"/>
        <w:rPr>
          <w:rFonts w:ascii="Times New Roman" w:hAnsi="Times New Roman" w:cs="Times New Roman"/>
        </w:rPr>
      </w:pPr>
    </w:p>
    <w:p w:rsidR="00242020" w:rsidRPr="00977D60" w:rsidRDefault="008353AA" w:rsidP="001730E4">
      <w:pPr>
        <w:spacing w:after="0" w:line="360" w:lineRule="auto"/>
        <w:rPr>
          <w:rFonts w:ascii="Times New Roman" w:hAnsi="Times New Roman" w:cs="Times New Roman"/>
        </w:rPr>
      </w:pPr>
      <w:r w:rsidRPr="00977D60">
        <w:rPr>
          <w:rFonts w:ascii="Times New Roman" w:hAnsi="Times New Roman" w:cs="Times New Roman"/>
        </w:rPr>
        <w:t xml:space="preserve">However, this performance varies with two parameters: </w:t>
      </w:r>
      <w:r w:rsidRPr="00977D60">
        <w:rPr>
          <w:rFonts w:ascii="Times New Roman" w:hAnsi="Times New Roman" w:cs="Times New Roman"/>
          <w:i/>
        </w:rPr>
        <w:t>k</w:t>
      </w:r>
      <w:r w:rsidRPr="00977D60">
        <w:rPr>
          <w:rFonts w:ascii="Times New Roman" w:hAnsi="Times New Roman" w:cs="Times New Roman"/>
        </w:rPr>
        <w:t xml:space="preserve"> defines the number of nearest neighbor microenvironments to use and </w:t>
      </w:r>
      <w:r w:rsidRPr="00977D60">
        <w:rPr>
          <w:rFonts w:ascii="Times New Roman" w:hAnsi="Times New Roman" w:cs="Times New Roman"/>
          <w:i/>
        </w:rPr>
        <w:t>M</w:t>
      </w:r>
      <w:r w:rsidRPr="00977D60">
        <w:rPr>
          <w:rFonts w:ascii="Times New Roman" w:hAnsi="Times New Roman" w:cs="Times New Roman"/>
        </w:rPr>
        <w:t xml:space="preserve"> restricts predicted fragments to those with sufficient prevalence in the knowledge base (</w:t>
      </w:r>
      <w:r w:rsidRPr="00977D60">
        <w:rPr>
          <w:rFonts w:ascii="Times New Roman" w:hAnsi="Times New Roman" w:cs="Times New Roman"/>
          <w:color w:val="E36C0A" w:themeColor="accent6" w:themeShade="BF"/>
        </w:rPr>
        <w:t>see</w:t>
      </w:r>
      <w:r w:rsidRPr="00977D60">
        <w:rPr>
          <w:rFonts w:ascii="Times New Roman" w:hAnsi="Times New Roman" w:cs="Times New Roman"/>
          <w:i/>
          <w:color w:val="E36C0A" w:themeColor="accent6" w:themeShade="BF"/>
        </w:rPr>
        <w:t xml:space="preserve"> Fragment Prediction for Single Microenvironments</w:t>
      </w:r>
      <w:r w:rsidRPr="00977D60">
        <w:rPr>
          <w:rFonts w:ascii="Times New Roman" w:hAnsi="Times New Roman" w:cs="Times New Roman"/>
        </w:rPr>
        <w:t xml:space="preserve">). Parameter variation changes fragment hypergeometric p-values and thus fragment prediction performance. We tested a </w:t>
      </w:r>
      <w:r w:rsidR="008E0402" w:rsidRPr="00977D60">
        <w:rPr>
          <w:rFonts w:ascii="Times New Roman" w:hAnsi="Times New Roman" w:cs="Times New Roman"/>
        </w:rPr>
        <w:t>range</w:t>
      </w:r>
      <w:r w:rsidRPr="00977D60">
        <w:rPr>
          <w:rFonts w:ascii="Times New Roman" w:hAnsi="Times New Roman" w:cs="Times New Roman"/>
        </w:rPr>
        <w:t xml:space="preserve"> of parameter values </w:t>
      </w:r>
      <w:r w:rsidR="008E0402" w:rsidRPr="00977D60">
        <w:rPr>
          <w:rFonts w:ascii="Times New Roman" w:hAnsi="Times New Roman" w:cs="Times New Roman"/>
        </w:rPr>
        <w:t xml:space="preserve">to </w:t>
      </w:r>
      <w:r w:rsidR="00266631" w:rsidRPr="00977D60">
        <w:rPr>
          <w:rFonts w:ascii="Times New Roman" w:hAnsi="Times New Roman" w:cs="Times New Roman"/>
        </w:rPr>
        <w:t>capture</w:t>
      </w:r>
      <w:r w:rsidR="008E0402" w:rsidRPr="00977D60">
        <w:rPr>
          <w:rFonts w:ascii="Times New Roman" w:hAnsi="Times New Roman" w:cs="Times New Roman"/>
        </w:rPr>
        <w:t xml:space="preserve"> the change in performance, </w:t>
      </w:r>
      <w:r w:rsidR="00782722" w:rsidRPr="00977D60">
        <w:rPr>
          <w:rFonts w:ascii="Times New Roman" w:hAnsi="Times New Roman" w:cs="Times New Roman"/>
        </w:rPr>
        <w:t>with</w:t>
      </w:r>
      <w:r w:rsidR="008E0402" w:rsidRPr="00977D60">
        <w:rPr>
          <w:rFonts w:ascii="Times New Roman" w:hAnsi="Times New Roman" w:cs="Times New Roman"/>
        </w:rPr>
        <w:t xml:space="preserve"> </w:t>
      </w:r>
      <w:r w:rsidR="008E0402" w:rsidRPr="00977D60">
        <w:rPr>
          <w:rFonts w:ascii="Times New Roman" w:hAnsi="Times New Roman" w:cs="Times New Roman"/>
          <w:i/>
        </w:rPr>
        <w:t>k</w:t>
      </w:r>
      <w:r w:rsidR="008E0402" w:rsidRPr="00977D60">
        <w:rPr>
          <w:rFonts w:ascii="Times New Roman" w:hAnsi="Times New Roman" w:cs="Times New Roman"/>
        </w:rPr>
        <w:t xml:space="preserve"> = [1, 5, 10, 15, 20] and </w:t>
      </w:r>
      <w:r w:rsidR="008E0402" w:rsidRPr="00977D60">
        <w:rPr>
          <w:rFonts w:ascii="Times New Roman" w:hAnsi="Times New Roman" w:cs="Times New Roman"/>
          <w:i/>
        </w:rPr>
        <w:t>M</w:t>
      </w:r>
      <w:r w:rsidR="008E0402" w:rsidRPr="00977D60">
        <w:rPr>
          <w:rFonts w:ascii="Times New Roman" w:hAnsi="Times New Roman" w:cs="Times New Roman"/>
        </w:rPr>
        <w:t xml:space="preserve"> ≥ [1, 5, 10, 15, 20, 25, 50, 100]</w:t>
      </w:r>
      <w:r w:rsidR="00CC5A63" w:rsidRPr="00977D60">
        <w:rPr>
          <w:rFonts w:ascii="Times New Roman" w:hAnsi="Times New Roman" w:cs="Times New Roman"/>
        </w:rPr>
        <w:t>.</w:t>
      </w:r>
      <w:r w:rsidR="00D956E0" w:rsidRPr="00977D60">
        <w:rPr>
          <w:rFonts w:ascii="Times New Roman" w:hAnsi="Times New Roman" w:cs="Times New Roman"/>
        </w:rPr>
        <w:t xml:space="preserve"> </w:t>
      </w:r>
      <w:r w:rsidR="00AF53EC" w:rsidRPr="00977D60">
        <w:rPr>
          <w:rFonts w:ascii="Times New Roman" w:hAnsi="Times New Roman" w:cs="Times New Roman"/>
        </w:rPr>
        <w:t xml:space="preserve">We observed the performance as measured by the AUPR to plateau </w:t>
      </w:r>
      <w:proofErr w:type="spellStart"/>
      <w:r w:rsidR="00AF53EC" w:rsidRPr="00977D60">
        <w:rPr>
          <w:rFonts w:ascii="Times New Roman" w:hAnsi="Times New Roman" w:cs="Times New Roman"/>
        </w:rPr>
        <w:t xml:space="preserve">as </w:t>
      </w:r>
      <w:r w:rsidR="00AF53EC" w:rsidRPr="00977D60">
        <w:rPr>
          <w:rFonts w:ascii="Times New Roman" w:hAnsi="Times New Roman" w:cs="Times New Roman"/>
          <w:i/>
        </w:rPr>
        <w:t>k</w:t>
      </w:r>
      <w:proofErr w:type="spellEnd"/>
      <w:r w:rsidR="00AF53EC" w:rsidRPr="00977D60">
        <w:rPr>
          <w:rFonts w:ascii="Times New Roman" w:hAnsi="Times New Roman" w:cs="Times New Roman"/>
        </w:rPr>
        <w:t xml:space="preserve"> approached 20 and </w:t>
      </w:r>
      <w:r w:rsidR="00AF53EC" w:rsidRPr="00977D60">
        <w:rPr>
          <w:rFonts w:ascii="Times New Roman" w:hAnsi="Times New Roman" w:cs="Times New Roman"/>
          <w:i/>
        </w:rPr>
        <w:t>M</w:t>
      </w:r>
      <w:r w:rsidR="00AF53EC" w:rsidRPr="00977D60">
        <w:rPr>
          <w:rFonts w:ascii="Times New Roman" w:hAnsi="Times New Roman" w:cs="Times New Roman"/>
        </w:rPr>
        <w:t xml:space="preserve"> approached 100 (</w:t>
      </w:r>
      <w:r w:rsidR="00AF53EC" w:rsidRPr="00977D60">
        <w:rPr>
          <w:rFonts w:ascii="Times New Roman" w:hAnsi="Times New Roman" w:cs="Times New Roman"/>
          <w:color w:val="E36C0A" w:themeColor="accent6" w:themeShade="BF"/>
        </w:rPr>
        <w:t>Figure S</w:t>
      </w:r>
      <w:r w:rsidR="00B16815">
        <w:rPr>
          <w:rFonts w:ascii="Times New Roman" w:hAnsi="Times New Roman" w:cs="Times New Roman"/>
          <w:color w:val="E36C0A" w:themeColor="accent6" w:themeShade="BF"/>
        </w:rPr>
        <w:t>5</w:t>
      </w:r>
      <w:r w:rsidR="00AF53EC" w:rsidRPr="00977D60">
        <w:rPr>
          <w:rFonts w:ascii="Times New Roman" w:hAnsi="Times New Roman" w:cs="Times New Roman"/>
          <w:color w:val="E36C0A" w:themeColor="accent6" w:themeShade="BF"/>
        </w:rPr>
        <w:t>A</w:t>
      </w:r>
      <w:r w:rsidR="00AF53EC" w:rsidRPr="00977D60">
        <w:rPr>
          <w:rFonts w:ascii="Times New Roman" w:hAnsi="Times New Roman" w:cs="Times New Roman"/>
        </w:rPr>
        <w:t>). While</w:t>
      </w:r>
      <w:r w:rsidRPr="00977D60">
        <w:rPr>
          <w:rFonts w:ascii="Times New Roman" w:hAnsi="Times New Roman" w:cs="Times New Roman"/>
        </w:rPr>
        <w:t xml:space="preserve"> </w:t>
      </w:r>
      <w:r w:rsidR="00B43AA9" w:rsidRPr="00977D60">
        <w:rPr>
          <w:rFonts w:ascii="Times New Roman" w:hAnsi="Times New Roman" w:cs="Times New Roman"/>
        </w:rPr>
        <w:t>there is</w:t>
      </w:r>
      <w:r w:rsidRPr="00977D60">
        <w:rPr>
          <w:rFonts w:ascii="Times New Roman" w:hAnsi="Times New Roman" w:cs="Times New Roman"/>
        </w:rPr>
        <w:t xml:space="preserve"> good performance for </w:t>
      </w:r>
      <w:r w:rsidR="00AF53EC" w:rsidRPr="00977D60">
        <w:rPr>
          <w:rFonts w:ascii="Times New Roman" w:hAnsi="Times New Roman" w:cs="Times New Roman"/>
        </w:rPr>
        <w:t xml:space="preserve">the </w:t>
      </w:r>
      <w:r w:rsidRPr="00977D60">
        <w:rPr>
          <w:rFonts w:ascii="Times New Roman" w:hAnsi="Times New Roman" w:cs="Times New Roman"/>
        </w:rPr>
        <w:t>larger</w:t>
      </w:r>
      <w:r w:rsidR="00FF417F" w:rsidRPr="00977D60">
        <w:rPr>
          <w:rFonts w:ascii="Times New Roman" w:hAnsi="Times New Roman" w:cs="Times New Roman"/>
        </w:rPr>
        <w:t xml:space="preserve"> values of</w:t>
      </w:r>
      <w:r w:rsidRPr="00977D60">
        <w:rPr>
          <w:rFonts w:ascii="Times New Roman" w:hAnsi="Times New Roman" w:cs="Times New Roman"/>
        </w:rPr>
        <w:t xml:space="preserve"> </w:t>
      </w:r>
      <w:r w:rsidRPr="00977D60">
        <w:rPr>
          <w:rFonts w:ascii="Times New Roman" w:hAnsi="Times New Roman" w:cs="Times New Roman"/>
          <w:i/>
        </w:rPr>
        <w:t>k</w:t>
      </w:r>
      <w:r w:rsidRPr="00977D60">
        <w:rPr>
          <w:rFonts w:ascii="Times New Roman" w:hAnsi="Times New Roman" w:cs="Times New Roman"/>
        </w:rPr>
        <w:t xml:space="preserve"> and </w:t>
      </w:r>
      <w:r w:rsidRPr="00977D60">
        <w:rPr>
          <w:rFonts w:ascii="Times New Roman" w:hAnsi="Times New Roman" w:cs="Times New Roman"/>
          <w:i/>
        </w:rPr>
        <w:t>M</w:t>
      </w:r>
      <w:r w:rsidR="00AF53EC" w:rsidRPr="00977D60">
        <w:rPr>
          <w:rFonts w:ascii="Times New Roman" w:hAnsi="Times New Roman" w:cs="Times New Roman"/>
        </w:rPr>
        <w:t>, we did not select these values.</w:t>
      </w:r>
      <w:r w:rsidRPr="00977D60">
        <w:rPr>
          <w:rFonts w:ascii="Times New Roman" w:hAnsi="Times New Roman" w:cs="Times New Roman"/>
        </w:rPr>
        <w:t xml:space="preserve"> </w:t>
      </w:r>
      <w:r w:rsidR="00AF53EC" w:rsidRPr="00977D60">
        <w:rPr>
          <w:rFonts w:ascii="Times New Roman" w:hAnsi="Times New Roman" w:cs="Times New Roman"/>
        </w:rPr>
        <w:t>L</w:t>
      </w:r>
      <w:r w:rsidRPr="00977D60">
        <w:rPr>
          <w:rFonts w:ascii="Times New Roman" w:hAnsi="Times New Roman" w:cs="Times New Roman"/>
        </w:rPr>
        <w:t xml:space="preserve">arge </w:t>
      </w:r>
      <w:r w:rsidRPr="00977D60">
        <w:rPr>
          <w:rFonts w:ascii="Times New Roman" w:hAnsi="Times New Roman" w:cs="Times New Roman"/>
          <w:i/>
        </w:rPr>
        <w:t>k</w:t>
      </w:r>
      <w:r w:rsidRPr="00977D60">
        <w:rPr>
          <w:rFonts w:ascii="Times New Roman" w:hAnsi="Times New Roman" w:cs="Times New Roman"/>
        </w:rPr>
        <w:t xml:space="preserve"> and/or </w:t>
      </w:r>
      <w:r w:rsidRPr="00977D60">
        <w:rPr>
          <w:rFonts w:ascii="Times New Roman" w:hAnsi="Times New Roman" w:cs="Times New Roman"/>
          <w:i/>
        </w:rPr>
        <w:t>M</w:t>
      </w:r>
      <w:r w:rsidRPr="00977D60">
        <w:rPr>
          <w:rFonts w:ascii="Times New Roman" w:hAnsi="Times New Roman" w:cs="Times New Roman"/>
        </w:rPr>
        <w:t xml:space="preserve"> favor prediction of common fragments</w:t>
      </w:r>
      <w:r w:rsidR="00AF53EC" w:rsidRPr="00977D60">
        <w:rPr>
          <w:rFonts w:ascii="Times New Roman" w:hAnsi="Times New Roman" w:cs="Times New Roman"/>
        </w:rPr>
        <w:t xml:space="preserve"> </w:t>
      </w:r>
      <w:r w:rsidR="00FF417F" w:rsidRPr="00977D60">
        <w:rPr>
          <w:rFonts w:ascii="Times New Roman" w:hAnsi="Times New Roman" w:cs="Times New Roman"/>
        </w:rPr>
        <w:t xml:space="preserve">(e.g. fragments </w:t>
      </w:r>
      <w:r w:rsidR="00B43AA9" w:rsidRPr="00977D60">
        <w:rPr>
          <w:rFonts w:ascii="Times New Roman" w:hAnsi="Times New Roman" w:cs="Times New Roman"/>
        </w:rPr>
        <w:t>bound by a</w:t>
      </w:r>
      <w:r w:rsidR="00FF417F" w:rsidRPr="00977D60">
        <w:rPr>
          <w:rFonts w:ascii="Times New Roman" w:hAnsi="Times New Roman" w:cs="Times New Roman"/>
        </w:rPr>
        <w:t xml:space="preserve"> large number of microenvironments) </w:t>
      </w:r>
      <w:r w:rsidR="00AF53EC" w:rsidRPr="00977D60">
        <w:rPr>
          <w:rFonts w:ascii="Times New Roman" w:hAnsi="Times New Roman" w:cs="Times New Roman"/>
        </w:rPr>
        <w:t>(</w:t>
      </w:r>
      <w:r w:rsidR="00AF53EC" w:rsidRPr="00977D60">
        <w:rPr>
          <w:rFonts w:ascii="Times New Roman" w:hAnsi="Times New Roman" w:cs="Times New Roman"/>
          <w:color w:val="E36C0A" w:themeColor="accent6" w:themeShade="BF"/>
        </w:rPr>
        <w:t>Figure S</w:t>
      </w:r>
      <w:r w:rsidR="00B16815">
        <w:rPr>
          <w:rFonts w:ascii="Times New Roman" w:hAnsi="Times New Roman" w:cs="Times New Roman"/>
          <w:color w:val="E36C0A" w:themeColor="accent6" w:themeShade="BF"/>
        </w:rPr>
        <w:t>5</w:t>
      </w:r>
      <w:r w:rsidR="00AF53EC" w:rsidRPr="00977D60">
        <w:rPr>
          <w:rFonts w:ascii="Times New Roman" w:hAnsi="Times New Roman" w:cs="Times New Roman"/>
          <w:color w:val="E36C0A" w:themeColor="accent6" w:themeShade="BF"/>
        </w:rPr>
        <w:t>B</w:t>
      </w:r>
      <w:r w:rsidR="00AF53EC" w:rsidRPr="00977D60">
        <w:rPr>
          <w:rFonts w:ascii="Times New Roman" w:hAnsi="Times New Roman" w:cs="Times New Roman"/>
        </w:rPr>
        <w:t>)</w:t>
      </w:r>
      <w:r w:rsidR="009B2589" w:rsidRPr="00977D60">
        <w:rPr>
          <w:rFonts w:ascii="Times New Roman" w:hAnsi="Times New Roman" w:cs="Times New Roman"/>
        </w:rPr>
        <w:t xml:space="preserve">. </w:t>
      </w:r>
      <w:r w:rsidR="00B43AA9" w:rsidRPr="00977D60">
        <w:rPr>
          <w:rFonts w:ascii="Times New Roman" w:hAnsi="Times New Roman" w:cs="Times New Roman"/>
        </w:rPr>
        <w:t>This would limit</w:t>
      </w:r>
      <w:r w:rsidR="001E1708" w:rsidRPr="00977D60">
        <w:rPr>
          <w:rFonts w:ascii="Times New Roman" w:hAnsi="Times New Roman" w:cs="Times New Roman"/>
        </w:rPr>
        <w:t xml:space="preserve"> FragFEATURE’s </w:t>
      </w:r>
      <w:r w:rsidR="00C816C5" w:rsidRPr="00977D60">
        <w:rPr>
          <w:rFonts w:ascii="Times New Roman" w:hAnsi="Times New Roman" w:cs="Times New Roman"/>
        </w:rPr>
        <w:t>ability</w:t>
      </w:r>
      <w:r w:rsidR="001E1708" w:rsidRPr="00977D60">
        <w:rPr>
          <w:rFonts w:ascii="Times New Roman" w:hAnsi="Times New Roman" w:cs="Times New Roman"/>
        </w:rPr>
        <w:t xml:space="preserve"> </w:t>
      </w:r>
      <w:r w:rsidR="00C816C5" w:rsidRPr="00977D60">
        <w:rPr>
          <w:rFonts w:ascii="Times New Roman" w:hAnsi="Times New Roman" w:cs="Times New Roman"/>
        </w:rPr>
        <w:t xml:space="preserve">to </w:t>
      </w:r>
      <w:r w:rsidR="009722C0" w:rsidRPr="00977D60">
        <w:rPr>
          <w:rFonts w:ascii="Times New Roman" w:hAnsi="Times New Roman" w:cs="Times New Roman"/>
        </w:rPr>
        <w:t>predict drug-like fragments</w:t>
      </w:r>
      <w:r w:rsidR="009B2589" w:rsidRPr="00977D60">
        <w:rPr>
          <w:rFonts w:ascii="Times New Roman" w:hAnsi="Times New Roman" w:cs="Times New Roman"/>
        </w:rPr>
        <w:t>,</w:t>
      </w:r>
      <w:r w:rsidR="009722C0" w:rsidRPr="00977D60">
        <w:rPr>
          <w:rFonts w:ascii="Times New Roman" w:hAnsi="Times New Roman" w:cs="Times New Roman"/>
        </w:rPr>
        <w:t xml:space="preserve"> </w:t>
      </w:r>
      <w:r w:rsidR="00C816C5" w:rsidRPr="00977D60">
        <w:rPr>
          <w:rFonts w:ascii="Times New Roman" w:hAnsi="Times New Roman" w:cs="Times New Roman"/>
        </w:rPr>
        <w:t>which do not</w:t>
      </w:r>
      <w:r w:rsidR="00FF417F" w:rsidRPr="00977D60">
        <w:rPr>
          <w:rFonts w:ascii="Times New Roman" w:hAnsi="Times New Roman" w:cs="Times New Roman"/>
        </w:rPr>
        <w:t xml:space="preserve"> necessarily</w:t>
      </w:r>
      <w:r w:rsidR="00C816C5" w:rsidRPr="00977D60">
        <w:rPr>
          <w:rFonts w:ascii="Times New Roman" w:hAnsi="Times New Roman" w:cs="Times New Roman"/>
        </w:rPr>
        <w:t xml:space="preserve"> have high prevalence in the knowledge base</w:t>
      </w:r>
      <w:r w:rsidRPr="00977D60">
        <w:rPr>
          <w:rFonts w:ascii="Times New Roman" w:hAnsi="Times New Roman" w:cs="Times New Roman"/>
        </w:rPr>
        <w:t xml:space="preserve">. To avoid this prediction bias, we set </w:t>
      </w:r>
      <w:r w:rsidRPr="00977D60">
        <w:rPr>
          <w:rFonts w:ascii="Times New Roman" w:hAnsi="Times New Roman" w:cs="Times New Roman"/>
          <w:i/>
        </w:rPr>
        <w:t>k</w:t>
      </w:r>
      <w:r w:rsidRPr="00977D60">
        <w:rPr>
          <w:rFonts w:ascii="Times New Roman" w:hAnsi="Times New Roman" w:cs="Times New Roman"/>
        </w:rPr>
        <w:t xml:space="preserve"> = </w:t>
      </w:r>
      <w:proofErr w:type="gramStart"/>
      <w:r w:rsidRPr="00977D60">
        <w:rPr>
          <w:rFonts w:ascii="Times New Roman" w:hAnsi="Times New Roman" w:cs="Times New Roman"/>
        </w:rPr>
        <w:t>5</w:t>
      </w:r>
      <w:proofErr w:type="gramEnd"/>
      <w:r w:rsidRPr="00977D60">
        <w:rPr>
          <w:rFonts w:ascii="Times New Roman" w:hAnsi="Times New Roman" w:cs="Times New Roman"/>
        </w:rPr>
        <w:t xml:space="preserve"> and </w:t>
      </w:r>
      <w:r w:rsidRPr="00977D60">
        <w:rPr>
          <w:rFonts w:ascii="Times New Roman" w:hAnsi="Times New Roman" w:cs="Times New Roman"/>
          <w:i/>
        </w:rPr>
        <w:t>M</w:t>
      </w:r>
      <w:r w:rsidRPr="00977D60">
        <w:rPr>
          <w:rFonts w:ascii="Times New Roman" w:hAnsi="Times New Roman" w:cs="Times New Roman"/>
        </w:rPr>
        <w:t xml:space="preserve"> ≥ 5. We do not use smaller values </w:t>
      </w:r>
      <w:r w:rsidR="00B671FB" w:rsidRPr="00977D60">
        <w:rPr>
          <w:rFonts w:ascii="Times New Roman" w:hAnsi="Times New Roman" w:cs="Times New Roman"/>
        </w:rPr>
        <w:t xml:space="preserve">(i.e. </w:t>
      </w:r>
      <w:r w:rsidR="00B671FB" w:rsidRPr="00977D60">
        <w:rPr>
          <w:rFonts w:ascii="Times New Roman" w:hAnsi="Times New Roman" w:cs="Times New Roman"/>
          <w:i/>
        </w:rPr>
        <w:t>k</w:t>
      </w:r>
      <w:r w:rsidR="00B671FB" w:rsidRPr="00977D60">
        <w:rPr>
          <w:rFonts w:ascii="Times New Roman" w:hAnsi="Times New Roman" w:cs="Times New Roman"/>
        </w:rPr>
        <w:t xml:space="preserve"> = 1 and </w:t>
      </w:r>
      <w:r w:rsidR="00B671FB" w:rsidRPr="00977D60">
        <w:rPr>
          <w:rFonts w:ascii="Times New Roman" w:hAnsi="Times New Roman" w:cs="Times New Roman"/>
          <w:i/>
        </w:rPr>
        <w:t>M</w:t>
      </w:r>
      <w:r w:rsidR="00B671FB" w:rsidRPr="00977D60">
        <w:rPr>
          <w:rFonts w:ascii="Times New Roman" w:hAnsi="Times New Roman" w:cs="Times New Roman"/>
        </w:rPr>
        <w:t xml:space="preserve"> ≥ 1) </w:t>
      </w:r>
      <w:r w:rsidRPr="00977D60">
        <w:rPr>
          <w:rFonts w:ascii="Times New Roman" w:hAnsi="Times New Roman" w:cs="Times New Roman"/>
        </w:rPr>
        <w:t xml:space="preserve">because a smaller </w:t>
      </w:r>
      <w:r w:rsidRPr="00977D60">
        <w:rPr>
          <w:rFonts w:ascii="Times New Roman" w:hAnsi="Times New Roman" w:cs="Times New Roman"/>
          <w:i/>
        </w:rPr>
        <w:t>k</w:t>
      </w:r>
      <w:r w:rsidRPr="00977D60">
        <w:rPr>
          <w:rFonts w:ascii="Times New Roman" w:hAnsi="Times New Roman" w:cs="Times New Roman"/>
        </w:rPr>
        <w:t xml:space="preserve"> relies too strongly on the similarity metric to perfectly rank the microenvironments, while a smaller </w:t>
      </w:r>
      <w:r w:rsidRPr="00977D60">
        <w:rPr>
          <w:rFonts w:ascii="Times New Roman" w:hAnsi="Times New Roman" w:cs="Times New Roman"/>
          <w:i/>
        </w:rPr>
        <w:t>M</w:t>
      </w:r>
      <w:r w:rsidRPr="00977D60">
        <w:rPr>
          <w:rFonts w:ascii="Times New Roman" w:hAnsi="Times New Roman" w:cs="Times New Roman"/>
        </w:rPr>
        <w:t xml:space="preserve"> allows prediction of fragments whose microenvironment preferences are poorly understood.</w:t>
      </w:r>
      <w:r w:rsidR="00751A71" w:rsidRPr="00977D60">
        <w:rPr>
          <w:rFonts w:ascii="Times New Roman" w:hAnsi="Times New Roman" w:cs="Times New Roman"/>
        </w:rPr>
        <w:t xml:space="preserve"> Thus, </w:t>
      </w:r>
      <w:r w:rsidR="00751A71" w:rsidRPr="00977D60">
        <w:rPr>
          <w:rFonts w:ascii="Times New Roman" w:hAnsi="Times New Roman" w:cs="Times New Roman"/>
          <w:i/>
        </w:rPr>
        <w:t>k</w:t>
      </w:r>
      <w:r w:rsidR="00751A71" w:rsidRPr="00977D60">
        <w:rPr>
          <w:rFonts w:ascii="Times New Roman" w:hAnsi="Times New Roman" w:cs="Times New Roman"/>
        </w:rPr>
        <w:t xml:space="preserve"> and </w:t>
      </w:r>
      <w:r w:rsidR="00751A71" w:rsidRPr="00977D60">
        <w:rPr>
          <w:rFonts w:ascii="Times New Roman" w:hAnsi="Times New Roman" w:cs="Times New Roman"/>
          <w:i/>
        </w:rPr>
        <w:t>M</w:t>
      </w:r>
      <w:r w:rsidR="00751A71" w:rsidRPr="00977D60">
        <w:rPr>
          <w:rFonts w:ascii="Times New Roman" w:hAnsi="Times New Roman" w:cs="Times New Roman"/>
        </w:rPr>
        <w:t xml:space="preserve"> are not set to values giving the best performance as measured by the AUPR but rather to values giving </w:t>
      </w:r>
      <w:r w:rsidR="005A78EF" w:rsidRPr="00977D60">
        <w:rPr>
          <w:rFonts w:ascii="Times New Roman" w:hAnsi="Times New Roman" w:cs="Times New Roman"/>
        </w:rPr>
        <w:t>un</w:t>
      </w:r>
      <w:r w:rsidR="00751A71" w:rsidRPr="00977D60">
        <w:rPr>
          <w:rFonts w:ascii="Times New Roman" w:hAnsi="Times New Roman" w:cs="Times New Roman"/>
        </w:rPr>
        <w:t>biased</w:t>
      </w:r>
      <w:r w:rsidR="003107FA" w:rsidRPr="00977D60">
        <w:rPr>
          <w:rFonts w:ascii="Times New Roman" w:hAnsi="Times New Roman" w:cs="Times New Roman"/>
        </w:rPr>
        <w:t xml:space="preserve"> </w:t>
      </w:r>
      <w:r w:rsidR="000344B1" w:rsidRPr="00977D60">
        <w:rPr>
          <w:rFonts w:ascii="Times New Roman" w:hAnsi="Times New Roman" w:cs="Times New Roman"/>
        </w:rPr>
        <w:t>predictions</w:t>
      </w:r>
      <w:r w:rsidR="00751A71" w:rsidRPr="00977D60">
        <w:rPr>
          <w:rFonts w:ascii="Times New Roman" w:hAnsi="Times New Roman" w:cs="Times New Roman"/>
        </w:rPr>
        <w:t xml:space="preserve">. </w:t>
      </w:r>
    </w:p>
    <w:sectPr w:rsidR="00242020" w:rsidRPr="0097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AA"/>
    <w:rsid w:val="00003D64"/>
    <w:rsid w:val="000344B1"/>
    <w:rsid w:val="001368AD"/>
    <w:rsid w:val="001730E4"/>
    <w:rsid w:val="001E1708"/>
    <w:rsid w:val="00242020"/>
    <w:rsid w:val="00266631"/>
    <w:rsid w:val="003107FA"/>
    <w:rsid w:val="005A78EF"/>
    <w:rsid w:val="005B0A06"/>
    <w:rsid w:val="00651C60"/>
    <w:rsid w:val="006935F7"/>
    <w:rsid w:val="00734924"/>
    <w:rsid w:val="00751A71"/>
    <w:rsid w:val="00782722"/>
    <w:rsid w:val="008217A0"/>
    <w:rsid w:val="008353AA"/>
    <w:rsid w:val="008E0402"/>
    <w:rsid w:val="009722C0"/>
    <w:rsid w:val="00977D60"/>
    <w:rsid w:val="009A32FC"/>
    <w:rsid w:val="009B2589"/>
    <w:rsid w:val="009D2440"/>
    <w:rsid w:val="00A36E35"/>
    <w:rsid w:val="00A55F40"/>
    <w:rsid w:val="00AE7753"/>
    <w:rsid w:val="00AF53EC"/>
    <w:rsid w:val="00B16815"/>
    <w:rsid w:val="00B43AA9"/>
    <w:rsid w:val="00B671FB"/>
    <w:rsid w:val="00C816C5"/>
    <w:rsid w:val="00CC5A63"/>
    <w:rsid w:val="00CF2D5E"/>
    <w:rsid w:val="00D956E0"/>
    <w:rsid w:val="00DF08FE"/>
    <w:rsid w:val="00E008CF"/>
    <w:rsid w:val="00E3253F"/>
    <w:rsid w:val="00FC2BA6"/>
    <w:rsid w:val="00FF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1973</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Tang</dc:creator>
  <cp:lastModifiedBy>Grace Tang</cp:lastModifiedBy>
  <cp:revision>38</cp:revision>
  <dcterms:created xsi:type="dcterms:W3CDTF">2013-10-28T06:06:00Z</dcterms:created>
  <dcterms:modified xsi:type="dcterms:W3CDTF">2014-03-08T00:52:00Z</dcterms:modified>
</cp:coreProperties>
</file>