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C78A8" w14:textId="4704E832" w:rsidR="00902D17" w:rsidRDefault="00111B94">
      <w:r>
        <w:rPr>
          <w:rFonts w:cstheme="minorHAnsi"/>
          <w:noProof/>
          <w:szCs w:val="22"/>
          <w:lang w:eastAsia="en-GB"/>
        </w:rPr>
        <mc:AlternateContent>
          <mc:Choice Requires="wps">
            <w:drawing>
              <wp:inline distT="0" distB="0" distL="0" distR="0" wp14:anchorId="224CA6D3" wp14:editId="53CCE2CA">
                <wp:extent cx="5709600" cy="7609398"/>
                <wp:effectExtent l="0" t="0" r="5715" b="0"/>
                <wp:docPr id="9" name="Text Box 9"/>
                <wp:cNvGraphicFramePr/>
                <a:graphic xmlns:a="http://schemas.openxmlformats.org/drawingml/2006/main">
                  <a:graphicData uri="http://schemas.microsoft.com/office/word/2010/wordprocessingShape">
                    <wps:wsp>
                      <wps:cNvSpPr txBox="1"/>
                      <wps:spPr>
                        <a:xfrm>
                          <a:off x="0" y="0"/>
                          <a:ext cx="5709600" cy="7609398"/>
                        </a:xfrm>
                        <a:prstGeom prst="rect">
                          <a:avLst/>
                        </a:prstGeom>
                        <a:solidFill>
                          <a:schemeClr val="lt1"/>
                        </a:solidFill>
                        <a:ln w="6350">
                          <a:noFill/>
                        </a:ln>
                      </wps:spPr>
                      <wps:txbx>
                        <w:txbxContent>
                          <w:p w14:paraId="25227162" w14:textId="77777777" w:rsidR="00111B94" w:rsidRDefault="00111B94" w:rsidP="00111B94">
                            <w:pPr>
                              <w:jc w:val="center"/>
                            </w:pPr>
                            <w:r>
                              <w:rPr>
                                <w:noProof/>
                              </w:rPr>
                              <w:drawing>
                                <wp:inline distT="0" distB="0" distL="0" distR="0" wp14:anchorId="0808B161" wp14:editId="508986CB">
                                  <wp:extent cx="2689860" cy="4901565"/>
                                  <wp:effectExtent l="0" t="0" r="0" b="0"/>
                                  <wp:docPr id="46" name="Picture 46"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Calendar&#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9860" cy="4901565"/>
                                          </a:xfrm>
                                          <a:prstGeom prst="rect">
                                            <a:avLst/>
                                          </a:prstGeom>
                                          <a:noFill/>
                                          <a:ln>
                                            <a:noFill/>
                                          </a:ln>
                                        </pic:spPr>
                                      </pic:pic>
                                    </a:graphicData>
                                  </a:graphic>
                                </wp:inline>
                              </w:drawing>
                            </w:r>
                          </w:p>
                          <w:p w14:paraId="35647DDD" w14:textId="77777777" w:rsidR="00111B94" w:rsidRDefault="00111B94" w:rsidP="00111B94">
                            <w:pPr>
                              <w:jc w:val="center"/>
                            </w:pPr>
                          </w:p>
                          <w:p w14:paraId="6B3D6924" w14:textId="0CB00DA3" w:rsidR="00111B94" w:rsidRPr="002D68D8" w:rsidRDefault="00111B94" w:rsidP="00111B94">
                            <w:pPr>
                              <w:jc w:val="both"/>
                              <w:rPr>
                                <w:rFonts w:cstheme="minorHAnsi"/>
                                <w:szCs w:val="22"/>
                              </w:rPr>
                            </w:pPr>
                            <w:r>
                              <w:rPr>
                                <w:rFonts w:cstheme="minorHAnsi"/>
                                <w:b/>
                                <w:szCs w:val="22"/>
                              </w:rPr>
                              <w:t>S20 Fig</w:t>
                            </w:r>
                            <w:r w:rsidRPr="00C841FC">
                              <w:rPr>
                                <w:rFonts w:cstheme="minorHAnsi"/>
                                <w:b/>
                                <w:szCs w:val="22"/>
                              </w:rPr>
                              <w:t xml:space="preserve">. </w:t>
                            </w:r>
                            <w:r>
                              <w:rPr>
                                <w:rFonts w:cstheme="minorHAnsi"/>
                                <w:b/>
                                <w:szCs w:val="22"/>
                              </w:rPr>
                              <w:t xml:space="preserve">Pleiotropy evolves to stabilise cooperation even when the loss-of-function mutation rate is 10x greater than the gain-of-function rate. </w:t>
                            </w:r>
                            <w:r>
                              <w:rPr>
                                <w:rFonts w:cstheme="minorHAnsi"/>
                                <w:szCs w:val="22"/>
                              </w:rPr>
                              <w:t xml:space="preserve">We performed simulations using the mutation model used by dos Santos et al in the production of their S5 Fig. This again reveals conditions where pleiotropy evolves and increases cooperation as it does. We varied the length of the within-group growth phase </w:t>
                            </w:r>
                            <m:oMath>
                              <m:r>
                                <w:rPr>
                                  <w:rFonts w:ascii="Cambria Math" w:hAnsi="Cambria Math" w:cstheme="minorHAnsi"/>
                                  <w:szCs w:val="22"/>
                                </w:rPr>
                                <m:t>k</m:t>
                              </m:r>
                            </m:oMath>
                            <w:r>
                              <w:rPr>
                                <w:rFonts w:cstheme="minorHAnsi"/>
                                <w:szCs w:val="22"/>
                              </w:rPr>
                              <w:t xml:space="preserve"> during which spontaneous mutants can arise and invade within groups, and the relatedness </w:t>
                            </w:r>
                            <m:oMath>
                              <m:r>
                                <w:rPr>
                                  <w:rFonts w:ascii="Cambria Math" w:hAnsi="Cambria Math" w:cstheme="minorHAnsi"/>
                                  <w:szCs w:val="22"/>
                                </w:rPr>
                                <m:t>r</m:t>
                              </m:r>
                            </m:oMath>
                            <w:r>
                              <w:rPr>
                                <w:rFonts w:cstheme="minorHAnsi"/>
                                <w:szCs w:val="22"/>
                              </w:rPr>
                              <w:t xml:space="preserve"> at the point at which groups form. We follow the evolution of a private trait, cooperative trait, and pleiotropy trait. (A) </w:t>
                            </w:r>
                            <w:r w:rsidRPr="00C841FC">
                              <w:rPr>
                                <w:rFonts w:cstheme="minorHAnsi"/>
                                <w:szCs w:val="22"/>
                                <w:lang w:val="en-US"/>
                              </w:rPr>
                              <w:t xml:space="preserve">Evolutionary dynamics of all three traits for a within-group growth phase of </w:t>
                            </w:r>
                            <m:oMath>
                              <m:r>
                                <w:rPr>
                                  <w:rFonts w:ascii="Cambria Math" w:hAnsi="Cambria Math" w:cstheme="minorHAnsi"/>
                                  <w:szCs w:val="22"/>
                                  <w:lang w:val="en-US"/>
                                </w:rPr>
                                <m:t>k = 30</m:t>
                              </m:r>
                            </m:oMath>
                            <w:r w:rsidRPr="00C841FC">
                              <w:rPr>
                                <w:rFonts w:cstheme="minorHAnsi"/>
                                <w:szCs w:val="22"/>
                                <w:lang w:val="en-US"/>
                              </w:rPr>
                              <w:t xml:space="preserve"> and </w:t>
                            </w:r>
                            <m:oMath>
                              <m:r>
                                <w:rPr>
                                  <w:rFonts w:ascii="Cambria Math" w:hAnsi="Cambria Math" w:cstheme="minorHAnsi"/>
                                  <w:szCs w:val="22"/>
                                  <w:lang w:val="en-US"/>
                                </w:rPr>
                                <m:t>r = 1</m:t>
                              </m:r>
                            </m:oMath>
                            <w:r w:rsidRPr="00C841FC">
                              <w:rPr>
                                <w:rFonts w:cstheme="minorHAnsi"/>
                                <w:szCs w:val="22"/>
                                <w:lang w:val="en-US"/>
                              </w:rPr>
                              <w:t xml:space="preserve">. </w:t>
                            </w:r>
                            <w:r>
                              <w:rPr>
                                <w:rFonts w:cstheme="minorHAnsi"/>
                                <w:szCs w:val="22"/>
                                <w:lang w:val="en-US"/>
                              </w:rPr>
                              <w:t xml:space="preserve">(B) </w:t>
                            </w:r>
                            <w:r w:rsidRPr="00C75CBF">
                              <w:rPr>
                                <w:rFonts w:cstheme="minorHAnsi"/>
                                <w:szCs w:val="22"/>
                                <w:lang w:val="en-US"/>
                              </w:rPr>
                              <w:t xml:space="preserve">Steady-state levels of all three traits under a </w:t>
                            </w:r>
                            <w:r>
                              <w:rPr>
                                <w:rFonts w:cstheme="minorHAnsi"/>
                                <w:szCs w:val="22"/>
                                <w:lang w:val="en-US"/>
                              </w:rPr>
                              <w:t>when the length of the within-group</w:t>
                            </w:r>
                            <w:r w:rsidRPr="00C75CBF">
                              <w:rPr>
                                <w:rFonts w:cstheme="minorHAnsi"/>
                                <w:szCs w:val="22"/>
                                <w:lang w:val="en-US"/>
                              </w:rPr>
                              <w:t xml:space="preserve"> growth phase</w:t>
                            </w:r>
                            <w:r>
                              <w:rPr>
                                <w:rFonts w:cstheme="minorHAnsi"/>
                                <w:szCs w:val="22"/>
                                <w:lang w:val="en-US"/>
                              </w:rPr>
                              <w:t xml:space="preserve"> is varied (x-axis)</w:t>
                            </w:r>
                            <w:r w:rsidRPr="00C75CBF">
                              <w:rPr>
                                <w:rFonts w:cstheme="minorHAnsi"/>
                                <w:szCs w:val="22"/>
                                <w:lang w:val="en-US"/>
                              </w:rPr>
                              <w:t xml:space="preserve"> for </w:t>
                            </w:r>
                            <m:oMath>
                              <m:r>
                                <w:rPr>
                                  <w:rFonts w:ascii="Cambria Math" w:hAnsi="Cambria Math" w:cstheme="minorHAnsi"/>
                                  <w:szCs w:val="22"/>
                                  <w:lang w:val="en-US"/>
                                </w:rPr>
                                <m:t>r = 1</m:t>
                              </m:r>
                            </m:oMath>
                            <w:r w:rsidRPr="00C75CBF">
                              <w:rPr>
                                <w:rFonts w:cstheme="minorHAnsi"/>
                                <w:szCs w:val="22"/>
                                <w:lang w:val="en-US"/>
                              </w:rPr>
                              <w:t>.</w:t>
                            </w:r>
                            <w:r>
                              <w:rPr>
                                <w:rFonts w:cstheme="minorHAnsi"/>
                                <w:szCs w:val="22"/>
                                <w:lang w:val="en-US"/>
                              </w:rPr>
                              <w:t xml:space="preserve"> (C) </w:t>
                            </w:r>
                            <w:r w:rsidRPr="00C75CBF">
                              <w:rPr>
                                <w:rFonts w:cstheme="minorHAnsi"/>
                                <w:szCs w:val="22"/>
                                <w:lang w:val="en-US"/>
                              </w:rPr>
                              <w:t xml:space="preserve">Steady-state levels of all three traits </w:t>
                            </w:r>
                            <w:r>
                              <w:rPr>
                                <w:rFonts w:cstheme="minorHAnsi"/>
                                <w:szCs w:val="22"/>
                                <w:lang w:val="en-US"/>
                              </w:rPr>
                              <w:t>when</w:t>
                            </w:r>
                            <w:r w:rsidRPr="00C75CBF">
                              <w:rPr>
                                <w:rFonts w:cstheme="minorHAnsi"/>
                                <w:szCs w:val="22"/>
                                <w:lang w:val="en-US"/>
                              </w:rPr>
                              <w:t xml:space="preserve"> relatedness</w:t>
                            </w:r>
                            <w:r>
                              <w:rPr>
                                <w:rFonts w:cstheme="minorHAnsi"/>
                                <w:szCs w:val="22"/>
                                <w:lang w:val="en-US"/>
                              </w:rPr>
                              <w:t xml:space="preserve"> at the point at which groups form is varied </w:t>
                            </w:r>
                            <w:r w:rsidRPr="00C75CBF">
                              <w:rPr>
                                <w:rFonts w:cstheme="minorHAnsi"/>
                                <w:szCs w:val="22"/>
                                <w:lang w:val="en-US"/>
                              </w:rPr>
                              <w:t xml:space="preserve">for a within-group growth phase of </w:t>
                            </w:r>
                            <m:oMath>
                              <m:r>
                                <w:rPr>
                                  <w:rFonts w:ascii="Cambria Math" w:hAnsi="Cambria Math" w:cstheme="minorHAnsi"/>
                                  <w:szCs w:val="22"/>
                                  <w:lang w:val="en-US"/>
                                </w:rPr>
                                <m:t>k = 30</m:t>
                              </m:r>
                            </m:oMath>
                            <w:r w:rsidRPr="00C75CBF">
                              <w:rPr>
                                <w:rFonts w:cstheme="minorHAnsi"/>
                                <w:szCs w:val="22"/>
                                <w:lang w:val="en-US"/>
                              </w:rPr>
                              <w:t>.</w:t>
                            </w:r>
                            <w:r>
                              <w:rPr>
                                <w:rFonts w:cstheme="minorHAnsi"/>
                                <w:szCs w:val="22"/>
                                <w:lang w:val="en-US"/>
                              </w:rPr>
                              <w:t xml:space="preserve"> Other parameters: </w:t>
                            </w:r>
                            <m:oMath>
                              <m:r>
                                <w:rPr>
                                  <w:rFonts w:ascii="Cambria Math" w:hAnsi="Cambria Math" w:cstheme="minorHAnsi"/>
                                  <w:szCs w:val="22"/>
                                  <w:lang w:val="en-US"/>
                                </w:rPr>
                                <m:t>b=0.11, c=0.1, g=0.5</m:t>
                              </m:r>
                            </m:oMath>
                            <w:r w:rsidRPr="008A38BA">
                              <w:rPr>
                                <w:rFonts w:cstheme="minorHAnsi"/>
                                <w:szCs w:val="22"/>
                                <w:lang w:val="en-US"/>
                              </w:rPr>
                              <w:t>, mutation rate </w:t>
                            </w:r>
                            <m:oMath>
                              <m:r>
                                <w:rPr>
                                  <w:rFonts w:ascii="Cambria Math" w:hAnsi="Cambria Math" w:cstheme="minorHAnsi"/>
                                  <w:szCs w:val="22"/>
                                  <w:lang w:val="en-US"/>
                                </w:rPr>
                                <m:t>μ = 0.001</m:t>
                              </m:r>
                            </m:oMath>
                            <w:r>
                              <w:rPr>
                                <w:rFonts w:cstheme="minorHAnsi"/>
                                <w:szCs w:val="22"/>
                                <w:lang w:val="en-US"/>
                              </w:rPr>
                              <w:t xml:space="preserve">, number of groups </w:t>
                            </w:r>
                            <m:oMath>
                              <m:sSub>
                                <m:sSubPr>
                                  <m:ctrlPr>
                                    <w:rPr>
                                      <w:rFonts w:ascii="Cambria Math" w:hAnsi="Cambria Math" w:cstheme="minorHAnsi"/>
                                      <w:i/>
                                      <w:szCs w:val="22"/>
                                    </w:rPr>
                                  </m:ctrlPr>
                                </m:sSubPr>
                                <m:e>
                                  <m:r>
                                    <w:rPr>
                                      <w:rFonts w:ascii="Cambria Math" w:hAnsi="Cambria Math" w:cstheme="minorHAnsi"/>
                                      <w:szCs w:val="22"/>
                                    </w:rPr>
                                    <m:t>n</m:t>
                                  </m:r>
                                </m:e>
                                <m:sub>
                                  <m:r>
                                    <w:rPr>
                                      <w:rFonts w:ascii="Cambria Math" w:hAnsi="Cambria Math" w:cstheme="minorHAnsi"/>
                                      <w:szCs w:val="22"/>
                                    </w:rPr>
                                    <m:t>g</m:t>
                                  </m:r>
                                </m:sub>
                              </m:sSub>
                              <m:r>
                                <w:rPr>
                                  <w:rFonts w:ascii="Cambria Math" w:hAnsi="Cambria Math" w:cstheme="minorHAnsi"/>
                                  <w:szCs w:val="22"/>
                                </w:rPr>
                                <m:t>=1000</m:t>
                              </m:r>
                            </m:oMath>
                            <w:r w:rsidRPr="008A38BA">
                              <w:rPr>
                                <w:rFonts w:cstheme="minorHAnsi"/>
                                <w:szCs w:val="22"/>
                                <w:lang w:val="en-US"/>
                              </w:rPr>
                              <w:t>.</w:t>
                            </w:r>
                            <w:r>
                              <w:rPr>
                                <w:rFonts w:cstheme="minorHAnsi"/>
                                <w:szCs w:val="22"/>
                                <w:lang w:val="en-US"/>
                              </w:rPr>
                              <w:t xml:space="preserve"> </w:t>
                            </w:r>
                            <w:r>
                              <w:rPr>
                                <w:rFonts w:cstheme="minorHAnsi"/>
                                <w:szCs w:val="22"/>
                              </w:rPr>
                              <w:t>All plots</w:t>
                            </w:r>
                            <w:r w:rsidRPr="00351C4A">
                              <w:rPr>
                                <w:rFonts w:cstheme="minorHAnsi"/>
                                <w:szCs w:val="22"/>
                              </w:rPr>
                              <w:t xml:space="preserve"> are averages of 1</w:t>
                            </w:r>
                            <w:r>
                              <w:rPr>
                                <w:rFonts w:cstheme="minorHAnsi"/>
                                <w:szCs w:val="22"/>
                              </w:rPr>
                              <w:t>0</w:t>
                            </w:r>
                            <w:r w:rsidRPr="00351C4A">
                              <w:rPr>
                                <w:rFonts w:cstheme="minorHAnsi"/>
                                <w:szCs w:val="22"/>
                              </w:rPr>
                              <w:t xml:space="preserve"> replicates.</w:t>
                            </w:r>
                            <w:r w:rsidR="00404891">
                              <w:rPr>
                                <w:rFonts w:cstheme="minorHAnsi"/>
                                <w:szCs w:val="22"/>
                              </w:rPr>
                              <w:t xml:space="preserve"> </w:t>
                            </w:r>
                            <w:r w:rsidR="00404891" w:rsidRPr="00167E74">
                              <w:rPr>
                                <w:rFonts w:eastAsiaTheme="minorEastAsia" w:cstheme="minorHAnsi"/>
                                <w:sz w:val="20"/>
                                <w:szCs w:val="22"/>
                              </w:rPr>
                              <w:t>The code required to generate this Figure can be found at https://github.com/euler-mab/pleiotropy and https://zenodo.org/record/6367788#.YjSBVurP2Uk</w:t>
                            </w:r>
                            <w:r w:rsidR="00404891">
                              <w:rPr>
                                <w:rFonts w:eastAsiaTheme="minorEastAsia" w:cstheme="minorHAnsi"/>
                                <w:sz w:val="20"/>
                                <w:szCs w:val="22"/>
                              </w:rPr>
                              <w:t>.</w:t>
                            </w:r>
                          </w:p>
                          <w:p w14:paraId="2DF76C76" w14:textId="77777777" w:rsidR="00111B94" w:rsidRDefault="00111B94" w:rsidP="00111B9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24CA6D3" id="_x0000_t202" coordsize="21600,21600" o:spt="202" path="m,l,21600r21600,l21600,xe">
                <v:stroke joinstyle="miter"/>
                <v:path gradientshapeok="t" o:connecttype="rect"/>
              </v:shapetype>
              <v:shape id="Text Box 9" o:spid="_x0000_s1026" type="#_x0000_t202" style="width:449.55pt;height:59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" fillcolor="white [3201]" stroked="f" strokeweight=".5pt">
                <v:textbox>
                  <w:txbxContent>
                    <w:p w14:paraId="25227162" w14:textId="77777777" w:rsidR="00111B94" w:rsidRDefault="00111B94" w:rsidP="00111B94">
                      <w:pPr>
                        <w:jc w:val="center"/>
                      </w:pPr>
                      <w:r>
                        <w:rPr>
                          <w:noProof/>
                        </w:rPr>
                        <w:drawing>
                          <wp:inline distT="0" distB="0" distL="0" distR="0" wp14:anchorId="0808B161" wp14:editId="508986CB">
                            <wp:extent cx="2689860" cy="4901565"/>
                            <wp:effectExtent l="0" t="0" r="0" b="0"/>
                            <wp:docPr id="46" name="Picture 46"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Calendar&#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9860" cy="4901565"/>
                                    </a:xfrm>
                                    <a:prstGeom prst="rect">
                                      <a:avLst/>
                                    </a:prstGeom>
                                    <a:noFill/>
                                    <a:ln>
                                      <a:noFill/>
                                    </a:ln>
                                  </pic:spPr>
                                </pic:pic>
                              </a:graphicData>
                            </a:graphic>
                          </wp:inline>
                        </w:drawing>
                      </w:r>
                    </w:p>
                    <w:p w14:paraId="35647DDD" w14:textId="77777777" w:rsidR="00111B94" w:rsidRDefault="00111B94" w:rsidP="00111B94">
                      <w:pPr>
                        <w:jc w:val="center"/>
                      </w:pPr>
                    </w:p>
                    <w:p w14:paraId="6B3D6924" w14:textId="0CB00DA3" w:rsidR="00111B94" w:rsidRPr="002D68D8" w:rsidRDefault="00111B94" w:rsidP="00111B94">
                      <w:pPr>
                        <w:jc w:val="both"/>
                        <w:rPr>
                          <w:rFonts w:cstheme="minorHAnsi"/>
                          <w:szCs w:val="22"/>
                        </w:rPr>
                      </w:pPr>
                      <w:r>
                        <w:rPr>
                          <w:rFonts w:cstheme="minorHAnsi"/>
                          <w:b/>
                          <w:szCs w:val="22"/>
                        </w:rPr>
                        <w:t>S20 Fig</w:t>
                      </w:r>
                      <w:r w:rsidRPr="00C841FC">
                        <w:rPr>
                          <w:rFonts w:cstheme="minorHAnsi"/>
                          <w:b/>
                          <w:szCs w:val="22"/>
                        </w:rPr>
                        <w:t xml:space="preserve">. </w:t>
                      </w:r>
                      <w:r>
                        <w:rPr>
                          <w:rFonts w:cstheme="minorHAnsi"/>
                          <w:b/>
                          <w:szCs w:val="22"/>
                        </w:rPr>
                        <w:t xml:space="preserve">Pleiotropy evolves to stabilise cooperation even when the loss-of-function mutation rate is 10x greater than the gain-of-function rate. </w:t>
                      </w:r>
                      <w:r>
                        <w:rPr>
                          <w:rFonts w:cstheme="minorHAnsi"/>
                          <w:szCs w:val="22"/>
                        </w:rPr>
                        <w:t xml:space="preserve">We performed simulations using the mutation model used by dos Santos et al in the production of their S5 Fig. This again reveals conditions where pleiotropy evolves and increases cooperation as it does. We varied the length of the within-group growth phase </w:t>
                      </w:r>
                      <m:oMath>
                        <m:r>
                          <w:rPr>
                            <w:rFonts w:ascii="Cambria Math" w:hAnsi="Cambria Math" w:cstheme="minorHAnsi"/>
                            <w:szCs w:val="22"/>
                          </w:rPr>
                          <m:t>k</m:t>
                        </m:r>
                      </m:oMath>
                      <w:r>
                        <w:rPr>
                          <w:rFonts w:cstheme="minorHAnsi"/>
                          <w:szCs w:val="22"/>
                        </w:rPr>
                        <w:t xml:space="preserve"> during which spontaneous mutants can arise and invade within groups, and the relatedness </w:t>
                      </w:r>
                      <m:oMath>
                        <m:r>
                          <w:rPr>
                            <w:rFonts w:ascii="Cambria Math" w:hAnsi="Cambria Math" w:cstheme="minorHAnsi"/>
                            <w:szCs w:val="22"/>
                          </w:rPr>
                          <m:t>r</m:t>
                        </m:r>
                      </m:oMath>
                      <w:r>
                        <w:rPr>
                          <w:rFonts w:cstheme="minorHAnsi"/>
                          <w:szCs w:val="22"/>
                        </w:rPr>
                        <w:t xml:space="preserve"> at the point at which groups form. We follow the evolution of a private trait, cooperative trait, and pleiotropy trait. (A) </w:t>
                      </w:r>
                      <w:r w:rsidRPr="00C841FC">
                        <w:rPr>
                          <w:rFonts w:cstheme="minorHAnsi"/>
                          <w:szCs w:val="22"/>
                          <w:lang w:val="en-US"/>
                        </w:rPr>
                        <w:t xml:space="preserve">Evolutionary dynamics of all three traits for a within-group growth phase of </w:t>
                      </w:r>
                      <m:oMath>
                        <m:r>
                          <w:rPr>
                            <w:rFonts w:ascii="Cambria Math" w:hAnsi="Cambria Math" w:cstheme="minorHAnsi"/>
                            <w:szCs w:val="22"/>
                            <w:lang w:val="en-US"/>
                          </w:rPr>
                          <m:t>k = 30</m:t>
                        </m:r>
                      </m:oMath>
                      <w:r w:rsidRPr="00C841FC">
                        <w:rPr>
                          <w:rFonts w:cstheme="minorHAnsi"/>
                          <w:szCs w:val="22"/>
                          <w:lang w:val="en-US"/>
                        </w:rPr>
                        <w:t xml:space="preserve"> and </w:t>
                      </w:r>
                      <m:oMath>
                        <m:r>
                          <w:rPr>
                            <w:rFonts w:ascii="Cambria Math" w:hAnsi="Cambria Math" w:cstheme="minorHAnsi"/>
                            <w:szCs w:val="22"/>
                            <w:lang w:val="en-US"/>
                          </w:rPr>
                          <m:t>r = 1</m:t>
                        </m:r>
                      </m:oMath>
                      <w:r w:rsidRPr="00C841FC">
                        <w:rPr>
                          <w:rFonts w:cstheme="minorHAnsi"/>
                          <w:szCs w:val="22"/>
                          <w:lang w:val="en-US"/>
                        </w:rPr>
                        <w:t xml:space="preserve">. </w:t>
                      </w:r>
                      <w:r>
                        <w:rPr>
                          <w:rFonts w:cstheme="minorHAnsi"/>
                          <w:szCs w:val="22"/>
                          <w:lang w:val="en-US"/>
                        </w:rPr>
                        <w:t xml:space="preserve">(B) </w:t>
                      </w:r>
                      <w:r w:rsidRPr="00C75CBF">
                        <w:rPr>
                          <w:rFonts w:cstheme="minorHAnsi"/>
                          <w:szCs w:val="22"/>
                          <w:lang w:val="en-US"/>
                        </w:rPr>
                        <w:t xml:space="preserve">Steady-state levels of all three traits under a </w:t>
                      </w:r>
                      <w:r>
                        <w:rPr>
                          <w:rFonts w:cstheme="minorHAnsi"/>
                          <w:szCs w:val="22"/>
                          <w:lang w:val="en-US"/>
                        </w:rPr>
                        <w:t>when the length of the within-group</w:t>
                      </w:r>
                      <w:r w:rsidRPr="00C75CBF">
                        <w:rPr>
                          <w:rFonts w:cstheme="minorHAnsi"/>
                          <w:szCs w:val="22"/>
                          <w:lang w:val="en-US"/>
                        </w:rPr>
                        <w:t xml:space="preserve"> growth phase</w:t>
                      </w:r>
                      <w:r>
                        <w:rPr>
                          <w:rFonts w:cstheme="minorHAnsi"/>
                          <w:szCs w:val="22"/>
                          <w:lang w:val="en-US"/>
                        </w:rPr>
                        <w:t xml:space="preserve"> is varied (x-axis)</w:t>
                      </w:r>
                      <w:r w:rsidRPr="00C75CBF">
                        <w:rPr>
                          <w:rFonts w:cstheme="minorHAnsi"/>
                          <w:szCs w:val="22"/>
                          <w:lang w:val="en-US"/>
                        </w:rPr>
                        <w:t xml:space="preserve"> for </w:t>
                      </w:r>
                      <m:oMath>
                        <m:r>
                          <w:rPr>
                            <w:rFonts w:ascii="Cambria Math" w:hAnsi="Cambria Math" w:cstheme="minorHAnsi"/>
                            <w:szCs w:val="22"/>
                            <w:lang w:val="en-US"/>
                          </w:rPr>
                          <m:t>r = 1</m:t>
                        </m:r>
                      </m:oMath>
                      <w:r w:rsidRPr="00C75CBF">
                        <w:rPr>
                          <w:rFonts w:cstheme="minorHAnsi"/>
                          <w:szCs w:val="22"/>
                          <w:lang w:val="en-US"/>
                        </w:rPr>
                        <w:t>.</w:t>
                      </w:r>
                      <w:r>
                        <w:rPr>
                          <w:rFonts w:cstheme="minorHAnsi"/>
                          <w:szCs w:val="22"/>
                          <w:lang w:val="en-US"/>
                        </w:rPr>
                        <w:t xml:space="preserve"> (C) </w:t>
                      </w:r>
                      <w:r w:rsidRPr="00C75CBF">
                        <w:rPr>
                          <w:rFonts w:cstheme="minorHAnsi"/>
                          <w:szCs w:val="22"/>
                          <w:lang w:val="en-US"/>
                        </w:rPr>
                        <w:t xml:space="preserve">Steady-state levels of all three traits </w:t>
                      </w:r>
                      <w:r>
                        <w:rPr>
                          <w:rFonts w:cstheme="minorHAnsi"/>
                          <w:szCs w:val="22"/>
                          <w:lang w:val="en-US"/>
                        </w:rPr>
                        <w:t>when</w:t>
                      </w:r>
                      <w:r w:rsidRPr="00C75CBF">
                        <w:rPr>
                          <w:rFonts w:cstheme="minorHAnsi"/>
                          <w:szCs w:val="22"/>
                          <w:lang w:val="en-US"/>
                        </w:rPr>
                        <w:t xml:space="preserve"> relatedness</w:t>
                      </w:r>
                      <w:r>
                        <w:rPr>
                          <w:rFonts w:cstheme="minorHAnsi"/>
                          <w:szCs w:val="22"/>
                          <w:lang w:val="en-US"/>
                        </w:rPr>
                        <w:t xml:space="preserve"> at the point at which groups form is varied </w:t>
                      </w:r>
                      <w:r w:rsidRPr="00C75CBF">
                        <w:rPr>
                          <w:rFonts w:cstheme="minorHAnsi"/>
                          <w:szCs w:val="22"/>
                          <w:lang w:val="en-US"/>
                        </w:rPr>
                        <w:t xml:space="preserve">for a within-group growth phase of </w:t>
                      </w:r>
                      <m:oMath>
                        <m:r>
                          <w:rPr>
                            <w:rFonts w:ascii="Cambria Math" w:hAnsi="Cambria Math" w:cstheme="minorHAnsi"/>
                            <w:szCs w:val="22"/>
                            <w:lang w:val="en-US"/>
                          </w:rPr>
                          <m:t>k = 30</m:t>
                        </m:r>
                      </m:oMath>
                      <w:r w:rsidRPr="00C75CBF">
                        <w:rPr>
                          <w:rFonts w:cstheme="minorHAnsi"/>
                          <w:szCs w:val="22"/>
                          <w:lang w:val="en-US"/>
                        </w:rPr>
                        <w:t>.</w:t>
                      </w:r>
                      <w:r>
                        <w:rPr>
                          <w:rFonts w:cstheme="minorHAnsi"/>
                          <w:szCs w:val="22"/>
                          <w:lang w:val="en-US"/>
                        </w:rPr>
                        <w:t xml:space="preserve"> Other parameters: </w:t>
                      </w:r>
                      <m:oMath>
                        <m:r>
                          <w:rPr>
                            <w:rFonts w:ascii="Cambria Math" w:hAnsi="Cambria Math" w:cstheme="minorHAnsi"/>
                            <w:szCs w:val="22"/>
                            <w:lang w:val="en-US"/>
                          </w:rPr>
                          <m:t>b=0.11, c=0.1, g=0.5</m:t>
                        </m:r>
                      </m:oMath>
                      <w:r w:rsidRPr="008A38BA">
                        <w:rPr>
                          <w:rFonts w:cstheme="minorHAnsi"/>
                          <w:szCs w:val="22"/>
                          <w:lang w:val="en-US"/>
                        </w:rPr>
                        <w:t>, mutation rate </w:t>
                      </w:r>
                      <m:oMath>
                        <m:r>
                          <w:rPr>
                            <w:rFonts w:ascii="Cambria Math" w:hAnsi="Cambria Math" w:cstheme="minorHAnsi"/>
                            <w:szCs w:val="22"/>
                            <w:lang w:val="en-US"/>
                          </w:rPr>
                          <m:t>μ = 0.001</m:t>
                        </m:r>
                      </m:oMath>
                      <w:r>
                        <w:rPr>
                          <w:rFonts w:cstheme="minorHAnsi"/>
                          <w:szCs w:val="22"/>
                          <w:lang w:val="en-US"/>
                        </w:rPr>
                        <w:t xml:space="preserve">, number of groups </w:t>
                      </w:r>
                      <m:oMath>
                        <m:sSub>
                          <m:sSubPr>
                            <m:ctrlPr>
                              <w:rPr>
                                <w:rFonts w:ascii="Cambria Math" w:hAnsi="Cambria Math" w:cstheme="minorHAnsi"/>
                                <w:i/>
                                <w:szCs w:val="22"/>
                              </w:rPr>
                            </m:ctrlPr>
                          </m:sSubPr>
                          <m:e>
                            <m:r>
                              <w:rPr>
                                <w:rFonts w:ascii="Cambria Math" w:hAnsi="Cambria Math" w:cstheme="minorHAnsi"/>
                                <w:szCs w:val="22"/>
                              </w:rPr>
                              <m:t>n</m:t>
                            </m:r>
                          </m:e>
                          <m:sub>
                            <m:r>
                              <w:rPr>
                                <w:rFonts w:ascii="Cambria Math" w:hAnsi="Cambria Math" w:cstheme="minorHAnsi"/>
                                <w:szCs w:val="22"/>
                              </w:rPr>
                              <m:t>g</m:t>
                            </m:r>
                          </m:sub>
                        </m:sSub>
                        <m:r>
                          <w:rPr>
                            <w:rFonts w:ascii="Cambria Math" w:hAnsi="Cambria Math" w:cstheme="minorHAnsi"/>
                            <w:szCs w:val="22"/>
                          </w:rPr>
                          <m:t>=1000</m:t>
                        </m:r>
                      </m:oMath>
                      <w:r w:rsidRPr="008A38BA">
                        <w:rPr>
                          <w:rFonts w:cstheme="minorHAnsi"/>
                          <w:szCs w:val="22"/>
                          <w:lang w:val="en-US"/>
                        </w:rPr>
                        <w:t>.</w:t>
                      </w:r>
                      <w:r>
                        <w:rPr>
                          <w:rFonts w:cstheme="minorHAnsi"/>
                          <w:szCs w:val="22"/>
                          <w:lang w:val="en-US"/>
                        </w:rPr>
                        <w:t xml:space="preserve"> </w:t>
                      </w:r>
                      <w:r>
                        <w:rPr>
                          <w:rFonts w:cstheme="minorHAnsi"/>
                          <w:szCs w:val="22"/>
                        </w:rPr>
                        <w:t>All plots</w:t>
                      </w:r>
                      <w:r w:rsidRPr="00351C4A">
                        <w:rPr>
                          <w:rFonts w:cstheme="minorHAnsi"/>
                          <w:szCs w:val="22"/>
                        </w:rPr>
                        <w:t xml:space="preserve"> are averages of 1</w:t>
                      </w:r>
                      <w:r>
                        <w:rPr>
                          <w:rFonts w:cstheme="minorHAnsi"/>
                          <w:szCs w:val="22"/>
                        </w:rPr>
                        <w:t>0</w:t>
                      </w:r>
                      <w:r w:rsidRPr="00351C4A">
                        <w:rPr>
                          <w:rFonts w:cstheme="minorHAnsi"/>
                          <w:szCs w:val="22"/>
                        </w:rPr>
                        <w:t xml:space="preserve"> replicates.</w:t>
                      </w:r>
                      <w:r w:rsidR="00404891">
                        <w:rPr>
                          <w:rFonts w:cstheme="minorHAnsi"/>
                          <w:szCs w:val="22"/>
                        </w:rPr>
                        <w:t xml:space="preserve"> </w:t>
                      </w:r>
                      <w:r w:rsidR="00404891" w:rsidRPr="00167E74">
                        <w:rPr>
                          <w:rFonts w:eastAsiaTheme="minorEastAsia" w:cstheme="minorHAnsi"/>
                          <w:sz w:val="20"/>
                          <w:szCs w:val="22"/>
                        </w:rPr>
                        <w:t>The code required to generate this Figure can be found at https://github.com/euler-mab/pleiotropy and https://zenodo.org/record/6367788#.YjSBVurP2Uk</w:t>
                      </w:r>
                      <w:r w:rsidR="00404891">
                        <w:rPr>
                          <w:rFonts w:eastAsiaTheme="minorEastAsia" w:cstheme="minorHAnsi"/>
                          <w:sz w:val="20"/>
                          <w:szCs w:val="22"/>
                        </w:rPr>
                        <w:t>.</w:t>
                      </w:r>
                    </w:p>
                    <w:p w14:paraId="2DF76C76" w14:textId="77777777" w:rsidR="00111B94" w:rsidRDefault="00111B94" w:rsidP="00111B94">
                      <w:pPr>
                        <w:jc w:val="center"/>
                      </w:pPr>
                    </w:p>
                  </w:txbxContent>
                </v:textbox>
                <w10:anchorlock/>
              </v:shape>
            </w:pict>
          </mc:Fallback>
        </mc:AlternateContent>
      </w:r>
    </w:p>
    <w:sectPr w:rsidR="00902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EAB"/>
    <w:rsid w:val="00111B94"/>
    <w:rsid w:val="00324EAB"/>
    <w:rsid w:val="00404891"/>
    <w:rsid w:val="00902D17"/>
    <w:rsid w:val="00D642FE"/>
    <w:rsid w:val="00F53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3294B"/>
  <w15:chartTrackingRefBased/>
  <w15:docId w15:val="{333DF7BF-586B-4135-AA07-8AEBDE69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EAB"/>
    <w:pPr>
      <w:spacing w:after="0" w:line="240"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Bentley</dc:creator>
  <cp:keywords/>
  <dc:description/>
  <cp:lastModifiedBy>Michael Bentley</cp:lastModifiedBy>
  <cp:revision>3</cp:revision>
  <dcterms:created xsi:type="dcterms:W3CDTF">2022-05-04T00:01:00Z</dcterms:created>
  <dcterms:modified xsi:type="dcterms:W3CDTF">2022-05-04T00:11:00Z</dcterms:modified>
</cp:coreProperties>
</file>