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D4" w:rsidRPr="00BE3132" w:rsidRDefault="00DC18D4" w:rsidP="00DC18D4">
      <w:pPr>
        <w:pStyle w:val="SMHeading"/>
      </w:pPr>
      <w:r>
        <w:t>S1</w:t>
      </w:r>
      <w:r w:rsidR="00814D38">
        <w:t xml:space="preserve"> Note</w:t>
      </w:r>
    </w:p>
    <w:p w:rsidR="00DC18D4" w:rsidRPr="009456B8" w:rsidRDefault="00DC18D4" w:rsidP="00DC18D4">
      <w:pPr>
        <w:rPr>
          <w:rStyle w:val="None"/>
          <w:rFonts w:eastAsia="Calibri Light"/>
          <w:color w:val="000000"/>
          <w:sz w:val="22"/>
          <w:szCs w:val="22"/>
          <w:u w:color="000000"/>
          <w:lang w:bidi="he-IL"/>
        </w:rPr>
      </w:pPr>
      <w:r w:rsidRPr="009456B8">
        <w:rPr>
          <w:rStyle w:val="None"/>
          <w:rFonts w:eastAsia="Calibri Light"/>
          <w:color w:val="000000"/>
          <w:sz w:val="22"/>
          <w:szCs w:val="22"/>
          <w:u w:color="000000"/>
          <w:lang w:bidi="he-IL"/>
        </w:rPr>
        <w:t xml:space="preserve">We note here that there are some differences between our results and the results reported by </w:t>
      </w:r>
      <w:proofErr w:type="spellStart"/>
      <w:r w:rsidRPr="009456B8">
        <w:rPr>
          <w:rStyle w:val="None"/>
          <w:rFonts w:eastAsia="Calibri Light"/>
          <w:color w:val="000000"/>
          <w:sz w:val="22"/>
          <w:szCs w:val="22"/>
          <w:u w:color="000000"/>
          <w:lang w:bidi="he-IL"/>
        </w:rPr>
        <w:t>AkhavanAghdam</w:t>
      </w:r>
      <w:proofErr w:type="spellEnd"/>
      <w:r w:rsidRPr="009456B8">
        <w:rPr>
          <w:rStyle w:val="None"/>
          <w:rFonts w:eastAsia="Calibri Light"/>
          <w:color w:val="000000"/>
          <w:sz w:val="22"/>
          <w:szCs w:val="22"/>
          <w:u w:color="000000"/>
          <w:lang w:bidi="he-IL"/>
        </w:rPr>
        <w:t xml:space="preserve"> et al.</w:t>
      </w:r>
      <w:r>
        <w:rPr>
          <w:rStyle w:val="None"/>
          <w:rFonts w:eastAsia="Calibri Light"/>
          <w:color w:val="000000"/>
          <w:sz w:val="22"/>
          <w:szCs w:val="22"/>
          <w:u w:color="000000"/>
          <w:lang w:bidi="he-IL"/>
        </w:rPr>
        <w:t xml:space="preserve"> </w:t>
      </w:r>
      <w:r w:rsidRPr="009456B8">
        <w:rPr>
          <w:rStyle w:val="None"/>
          <w:rFonts w:eastAsia="Calibri Light"/>
          <w:color w:val="000000"/>
          <w:sz w:val="22"/>
          <w:szCs w:val="22"/>
          <w:u w:color="000000"/>
          <w:lang w:bidi="he-IL"/>
        </w:rPr>
        <w:fldChar w:fldCharType="begin" w:fldLock="1"/>
      </w:r>
      <w:r>
        <w:rPr>
          <w:rStyle w:val="None"/>
          <w:rFonts w:eastAsia="Calibri Light"/>
          <w:color w:val="000000"/>
          <w:sz w:val="22"/>
          <w:szCs w:val="22"/>
          <w:u w:color="000000"/>
          <w:lang w:bidi="he-IL"/>
        </w:rPr>
        <w:instrText>ADDIN CSL_CITATION {"citationItems":[{"id":"ITEM-1","itemData":{"DOI":"10.7554/eLife.18458","ISSN":"2050-084X","abstract":"&lt;p&gt;Many transcription factors co-express with their homologs to regulate identical target genes, however the advantages of such redundancies remain elusive. Using single-cell imaging and microfluidics, we study the yeast general stress response transcription factor Msn2 and its seemingly redundant homolog Msn4. We find that gene regulation by these two factors is analogous to logic gate systems. Target genes with fast activation kinetics can be fully induced by either factor, behaving as an 'OR' gate. In contrast, target genes with slow activation kinetics behave as an 'AND' gate, requiring distinct contributions from both factors, upon transient stimulation. Furthermore, such genes become an 'OR' gate when the input duration is prolonged, suggesting that the logic gate scheme is not static but rather dependent on the input dynamics. Therefore, Msn2 and Msn4 enable a time-based mode of combinatorial gene regulation that might be applicable to homologous transcription factors in other organisms.&lt;/p&gt;","author":[{"dropping-particle":"","family":"AkhavanAghdam","given":"Zohreh","non-dropping-particle":"","parse-names":false,"suffix":""},{"dropping-particle":"","family":"Sinha","given":"Joydeb","non-dropping-particle":"","parse-names":false,"suffix":""},{"dropping-particle":"","family":"Tabbaa","given":"Omar P","non-dropping-particle":"","parse-names":false,"suffix":""},{"dropping-particle":"","family":"Hao","given":"Nan","non-dropping-particle":"","parse-names":false,"suffix":""}],"container-title":"eLife","id":"ITEM-1","issued":{"date-parts":[["2016","9","30"]]},"title":"Dynamic control of gene regulatory logic by seemingly redundant transcription factors","type":"article-journal","volume":"5"},"uris":["http://www.mendeley.com/documents/?uuid=26c3a06c-be86-3f7e-84c1-863ff73ad114"]}],"mendeley":{"formattedCitation":"[1]","plainTextFormattedCitation":"[1]","previouslyFormattedCitation":"[41]"},"properties":{"noteIndex":0},"schema":"https://github.com/citation-style-language/schema/raw/master/csl-citation.json"}</w:instrText>
      </w:r>
      <w:r w:rsidRPr="009456B8">
        <w:rPr>
          <w:rStyle w:val="None"/>
          <w:rFonts w:eastAsia="Calibri Light"/>
          <w:color w:val="000000"/>
          <w:sz w:val="22"/>
          <w:szCs w:val="22"/>
          <w:u w:color="000000"/>
          <w:lang w:bidi="he-IL"/>
        </w:rPr>
        <w:fldChar w:fldCharType="separate"/>
      </w:r>
      <w:r w:rsidRPr="00DC18D4">
        <w:rPr>
          <w:rStyle w:val="None"/>
          <w:rFonts w:eastAsia="Calibri Light"/>
          <w:noProof/>
          <w:color w:val="000000"/>
          <w:sz w:val="22"/>
          <w:szCs w:val="22"/>
          <w:u w:color="000000"/>
          <w:lang w:bidi="he-IL"/>
        </w:rPr>
        <w:t>[1]</w:t>
      </w:r>
      <w:r w:rsidRPr="009456B8">
        <w:rPr>
          <w:rStyle w:val="None"/>
          <w:rFonts w:eastAsia="Calibri Light"/>
          <w:color w:val="000000"/>
          <w:sz w:val="22"/>
          <w:szCs w:val="22"/>
          <w:u w:color="000000"/>
          <w:lang w:bidi="he-IL"/>
        </w:rPr>
        <w:fldChar w:fldCharType="end"/>
      </w:r>
      <w:r>
        <w:rPr>
          <w:rStyle w:val="None"/>
          <w:rFonts w:eastAsia="Calibri Light"/>
          <w:color w:val="000000"/>
          <w:sz w:val="22"/>
          <w:szCs w:val="22"/>
          <w:u w:color="000000"/>
          <w:lang w:bidi="he-IL"/>
        </w:rPr>
        <w:t>.</w:t>
      </w:r>
      <w:r w:rsidRPr="009456B8">
        <w:rPr>
          <w:rStyle w:val="None"/>
          <w:rFonts w:eastAsia="Calibri Light"/>
          <w:color w:val="000000"/>
          <w:sz w:val="22"/>
          <w:szCs w:val="22"/>
          <w:u w:color="000000"/>
          <w:lang w:bidi="he-IL"/>
        </w:rPr>
        <w:t xml:space="preserve"> </w:t>
      </w:r>
      <w:proofErr w:type="gramStart"/>
      <w:r w:rsidRPr="009456B8">
        <w:rPr>
          <w:rStyle w:val="None"/>
          <w:rFonts w:eastAsia="Calibri Light"/>
          <w:color w:val="000000"/>
          <w:sz w:val="22"/>
          <w:szCs w:val="22"/>
          <w:u w:color="000000"/>
          <w:lang w:bidi="he-IL"/>
        </w:rPr>
        <w:t>In our high temporal resolution data of mRNA sequencing (every 3 minutes for the first hour after stress induction and then every 10 minutes in the next half/one hour), in all the conditions that we tested, there was no fundamental difference in Msn2,4 contribution to the response between the genes DSC2, DDR2 and genes S</w:t>
      </w:r>
      <w:r>
        <w:rPr>
          <w:rStyle w:val="None"/>
          <w:rFonts w:eastAsia="Calibri Light"/>
          <w:color w:val="000000"/>
          <w:sz w:val="22"/>
          <w:szCs w:val="22"/>
          <w:u w:color="000000"/>
          <w:lang w:bidi="he-IL"/>
        </w:rPr>
        <w:t>IP18,TKL2 as was reported (</w:t>
      </w:r>
      <w:r w:rsidRPr="009456B8">
        <w:rPr>
          <w:rStyle w:val="None"/>
          <w:rFonts w:eastAsia="Calibri Light"/>
          <w:color w:val="000000"/>
          <w:sz w:val="22"/>
          <w:szCs w:val="22"/>
          <w:u w:color="000000"/>
          <w:lang w:bidi="he-IL"/>
        </w:rPr>
        <w:t>S13</w:t>
      </w:r>
      <w:r>
        <w:rPr>
          <w:rStyle w:val="None"/>
          <w:rFonts w:eastAsia="Calibri Light"/>
          <w:color w:val="000000"/>
          <w:sz w:val="22"/>
          <w:szCs w:val="22"/>
          <w:u w:color="000000"/>
          <w:lang w:bidi="he-IL"/>
        </w:rPr>
        <w:t xml:space="preserve"> Fig</w:t>
      </w:r>
      <w:r w:rsidRPr="009456B8">
        <w:rPr>
          <w:rStyle w:val="None"/>
          <w:rFonts w:eastAsia="Calibri Light"/>
          <w:color w:val="000000"/>
          <w:sz w:val="22"/>
          <w:szCs w:val="22"/>
          <w:u w:color="000000"/>
          <w:lang w:bidi="he-IL"/>
        </w:rPr>
        <w:t>).</w:t>
      </w:r>
      <w:proofErr w:type="gramEnd"/>
      <w:r w:rsidRPr="009456B8">
        <w:rPr>
          <w:rStyle w:val="None"/>
          <w:rFonts w:eastAsia="Calibri Light"/>
          <w:color w:val="000000"/>
          <w:sz w:val="22"/>
          <w:szCs w:val="22"/>
          <w:u w:color="000000"/>
          <w:lang w:bidi="he-IL"/>
        </w:rPr>
        <w:t xml:space="preserve"> In all the conditions we tested, these genes show the same kinetics dependency on Msn2 and Msn4. Of note, we measured directly the mRNA and with high temporal resolution, while in the</w:t>
      </w:r>
      <w:bookmarkStart w:id="0" w:name="_GoBack"/>
      <w:bookmarkEnd w:id="0"/>
      <w:r w:rsidRPr="009456B8">
        <w:rPr>
          <w:rStyle w:val="None"/>
          <w:rFonts w:eastAsia="Calibri Light"/>
          <w:color w:val="000000"/>
          <w:sz w:val="22"/>
          <w:szCs w:val="22"/>
          <w:u w:color="000000"/>
          <w:lang w:bidi="he-IL"/>
        </w:rPr>
        <w:t xml:space="preserve"> paper the measurements were done by reporter proteins for these </w:t>
      </w:r>
      <w:proofErr w:type="gramStart"/>
      <w:r w:rsidRPr="009456B8">
        <w:rPr>
          <w:rStyle w:val="None"/>
          <w:rFonts w:eastAsia="Calibri Light"/>
          <w:color w:val="000000"/>
          <w:sz w:val="22"/>
          <w:szCs w:val="22"/>
          <w:u w:color="000000"/>
          <w:lang w:bidi="he-IL"/>
        </w:rPr>
        <w:t>4</w:t>
      </w:r>
      <w:proofErr w:type="gramEnd"/>
      <w:r w:rsidRPr="009456B8">
        <w:rPr>
          <w:rStyle w:val="None"/>
          <w:rFonts w:eastAsia="Calibri Light"/>
          <w:color w:val="000000"/>
          <w:sz w:val="22"/>
          <w:szCs w:val="22"/>
          <w:u w:color="000000"/>
          <w:lang w:bidi="he-IL"/>
        </w:rPr>
        <w:t xml:space="preserve"> genes. We have looked extensively for genes with other dynamic dependency than what we have described, using our extensive time-course data, but could not detect such events. Furthermore, in our time-laps microscopy experiments, we could not detect any differences in the nuclear localization dynamics between Msn2 and Msn4 as was reported by </w:t>
      </w:r>
      <w:proofErr w:type="spellStart"/>
      <w:r w:rsidRPr="009456B8">
        <w:rPr>
          <w:rStyle w:val="None"/>
          <w:rFonts w:eastAsia="Calibri Light"/>
          <w:color w:val="000000"/>
          <w:sz w:val="22"/>
          <w:szCs w:val="22"/>
          <w:u w:color="000000"/>
          <w:lang w:bidi="he-IL"/>
        </w:rPr>
        <w:t>AkhavanAghdam</w:t>
      </w:r>
      <w:proofErr w:type="spellEnd"/>
      <w:r w:rsidRPr="009456B8">
        <w:rPr>
          <w:rStyle w:val="None"/>
          <w:rFonts w:eastAsia="Calibri Light"/>
          <w:color w:val="000000"/>
          <w:sz w:val="22"/>
          <w:szCs w:val="22"/>
          <w:u w:color="000000"/>
          <w:lang w:bidi="he-IL"/>
        </w:rPr>
        <w:t xml:space="preserve"> et al. We (as others reported</w:t>
      </w:r>
      <w:r w:rsidRPr="009456B8">
        <w:rPr>
          <w:rStyle w:val="None"/>
          <w:rFonts w:eastAsia="Calibri Light"/>
          <w:color w:val="000000"/>
          <w:sz w:val="22"/>
          <w:szCs w:val="22"/>
          <w:u w:color="000000"/>
          <w:lang w:bidi="he-IL"/>
        </w:rPr>
        <w:fldChar w:fldCharType="begin" w:fldLock="1"/>
      </w:r>
      <w:r>
        <w:rPr>
          <w:rStyle w:val="None"/>
          <w:rFonts w:eastAsia="Calibri Light"/>
          <w:color w:val="000000"/>
          <w:sz w:val="22"/>
          <w:szCs w:val="22"/>
          <w:u w:color="000000"/>
          <w:lang w:bidi="he-IL"/>
        </w:rPr>
        <w:instrText>ADDIN CSL_CITATION {"citationItems":[{"id":"ITEM-1","itemData":{"DOI":"10.1038/nature04785","ISSN":"0028-0836","abstract":"A strategy involving high-throughput flow cytometry to monitor protein abundance at single-cell resolution in yeast allows a different view of the cellular response to environmental changes than can be obtained with DNA microarrays.","author":[{"dropping-particle":"","family":"Newman","given":"John R. S.","non-dropping-particle":"","parse-names":false,"suffix":""},{"dropping-particle":"","family":"Ghaemmaghami","given":"Sina","non-dropping-particle":"","parse-names":false,"suffix":""},{"dropping-particle":"","family":"Ihmels","given":"Jan","non-dropping-particle":"","parse-names":false,"suffix":""},{"dropping-particle":"","family":"Breslow","given":"David K.","non-dropping-particle":"","parse-names":false,"suffix":""},{"dropping-particle":"","family":"Noble","given":"Matthew","non-dropping-particle":"","parse-names":false,"suffix":""},{"dropping-particle":"","family":"DeRisi","given":"Joseph L.","non-dropping-particle":"","parse-names":false,"suffix":""},{"dropping-particle":"","family":"Weissman","given":"Jonathan S.","non-dropping-particle":"","parse-names":false,"suffix":""}],"container-title":"Nature","id":"ITEM-1","issue":"7095","issued":{"date-parts":[["2006","6","14"]]},"page":"840-846","publisher":"Nature Publishing Group","title":"Single-cell proteomic analysis of S. cerevisiae reveals the architecture of biological noise","type":"article-journal","volume":"441"},"uris":["http://www.mendeley.com/documents/?uuid=68cb125b-2a33-31a6-b9c9-81a609be7b73"]},{"id":"ITEM-2","itemData":{"DOI":"10.1093/nar/gkt933","ISSN":"0305-1048","author":[{"dropping-particle":"","family":"Breker","given":"Michal","non-dropping-particle":"","parse-names":false,"suffix":""},{"dropping-particle":"","family":"Gymrek","given":"Melissa","non-dropping-particle":"","parse-names":false,"suffix":""},{"dropping-particle":"","family":"Moldavski","given":"Ofer","non-dropping-particle":"","parse-names":false,"suffix":""},{"dropping-particle":"","family":"Schuldiner","given":"Maya","non-dropping-particle":"","parse-names":false,"suffix":""}],"container-title":"Nucleic Acids Research","id":"ITEM-2","issue":"D1","issued":{"date-parts":[["2014","1","1"]]},"page":"D726-D730","publisher":"Oxford University Press","title":"LoQAtE—Localization and Quantitation ATlas of the yeast proteomE. A new tool for multiparametric dissection of single-protein behavior in response to biological perturbations in yeast","type":"article-journal","volume":"42"},"uris":["http://www.mendeley.com/documents/?uuid=c1fb4edc-ced2-3e5e-acab-b20bc65f4198"]},{"id":"ITEM-3","itemData":{"DOI":"10.1038/nature02026","ISSN":"0028-0836","abstract":"Global analysis of protein localization in budding yeast","author":[{"dropping-particle":"","family":"Huh","given":"Won-Ki","non-dropping-particle":"","parse-names":false,"suffix":""},{"dropping-particle":"V.","family":"Falvo","given":"James","non-dropping-particle":"","parse-names":false,"suffix":""},{"dropping-particle":"","family":"Gerke","given":"Luke C.","non-dropping-particle":"","parse-names":false,"suffix":""},{"dropping-particle":"","family":"Carroll","given":"Adam S.","non-dropping-particle":"","parse-names":false,"suffix":""},{"dropping-particle":"","family":"Howson","given":"Russell W.","non-dropping-particle":"","parse-names":false,"suffix":""},{"dropping-particle":"","family":"Weissman","given":"Jonathan S.","non-dropping-particle":"","parse-names":false,"suffix":""},{"dropping-particle":"","family":"O'Shea","given":"Erin K.","non-dropping-particle":"","parse-names":false,"suffix":""}],"container-title":"Nature","id":"ITEM-3","issue":"6959","issued":{"date-parts":[["2003","10","16"]]},"page":"686-691","publisher":"Nature Publishing Group","title":"Global analysis of protein localization in budding yeast","type":"article-journal","volume":"425"},"uris":["http://www.mendeley.com/documents/?uuid=62806fa6-81ee-3504-b22f-7c41bc6da071"]}],"mendeley":{"formattedCitation":"[2–4]","plainTextFormattedCitation":"[2–4]","previouslyFormattedCitation":"[24,36,37]"},"properties":{"noteIndex":0},"schema":"https://github.com/citation-style-language/schema/raw/master/csl-citation.json"}</w:instrText>
      </w:r>
      <w:r w:rsidRPr="009456B8">
        <w:rPr>
          <w:rStyle w:val="None"/>
          <w:rFonts w:eastAsia="Calibri Light"/>
          <w:color w:val="000000"/>
          <w:sz w:val="22"/>
          <w:szCs w:val="22"/>
          <w:u w:color="000000"/>
          <w:lang w:bidi="he-IL"/>
        </w:rPr>
        <w:fldChar w:fldCharType="separate"/>
      </w:r>
      <w:r w:rsidRPr="00DC18D4">
        <w:rPr>
          <w:rStyle w:val="None"/>
          <w:rFonts w:eastAsia="Calibri Light"/>
          <w:noProof/>
          <w:color w:val="000000"/>
          <w:sz w:val="22"/>
          <w:szCs w:val="22"/>
          <w:u w:color="000000"/>
          <w:lang w:bidi="he-IL"/>
        </w:rPr>
        <w:t>[2–4]</w:t>
      </w:r>
      <w:r w:rsidRPr="009456B8">
        <w:rPr>
          <w:rStyle w:val="None"/>
          <w:rFonts w:eastAsia="Calibri Light"/>
          <w:color w:val="000000"/>
          <w:sz w:val="22"/>
          <w:szCs w:val="22"/>
          <w:u w:color="000000"/>
          <w:lang w:bidi="he-IL"/>
        </w:rPr>
        <w:fldChar w:fldCharType="end"/>
      </w:r>
      <w:r w:rsidRPr="009456B8">
        <w:rPr>
          <w:rStyle w:val="None"/>
          <w:rFonts w:eastAsia="Calibri Light"/>
          <w:color w:val="000000"/>
          <w:sz w:val="22"/>
          <w:szCs w:val="22"/>
          <w:u w:color="000000"/>
          <w:lang w:bidi="he-IL"/>
        </w:rPr>
        <w:t>) could not detect Msn4-GFP in cells growing in rich media in exponential phase, thus performed our microscopy experiments when introducing stress in higher ODs, when Msn4 was detectable. </w:t>
      </w:r>
    </w:p>
    <w:p w:rsidR="00DC18D4" w:rsidRDefault="00DC18D4" w:rsidP="00DC18D4">
      <w:pPr>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Calibri Light"/>
          <w:color w:val="000000"/>
          <w:sz w:val="22"/>
          <w:szCs w:val="22"/>
          <w:u w:color="000000"/>
          <w:lang w:bidi="he-IL"/>
        </w:rPr>
      </w:pPr>
      <w:r w:rsidRPr="009456B8">
        <w:rPr>
          <w:rStyle w:val="None"/>
          <w:rFonts w:eastAsia="Calibri Light"/>
          <w:color w:val="000000"/>
          <w:sz w:val="22"/>
          <w:szCs w:val="22"/>
          <w:u w:color="000000"/>
          <w:lang w:bidi="he-IL"/>
        </w:rPr>
        <w:t xml:space="preserve">It is important to note that we used BY4741 strain for our experiments while </w:t>
      </w:r>
      <w:proofErr w:type="spellStart"/>
      <w:r w:rsidRPr="009456B8">
        <w:rPr>
          <w:rStyle w:val="None"/>
          <w:rFonts w:eastAsia="Calibri Light"/>
          <w:color w:val="000000"/>
          <w:sz w:val="22"/>
          <w:szCs w:val="22"/>
          <w:u w:color="000000"/>
          <w:lang w:bidi="he-IL"/>
        </w:rPr>
        <w:t>AkhavanAghdam</w:t>
      </w:r>
      <w:proofErr w:type="spellEnd"/>
      <w:r w:rsidRPr="009456B8">
        <w:rPr>
          <w:rStyle w:val="None"/>
          <w:rFonts w:eastAsia="Calibri Light"/>
          <w:color w:val="000000"/>
          <w:sz w:val="22"/>
          <w:szCs w:val="22"/>
          <w:u w:color="000000"/>
          <w:lang w:bidi="he-IL"/>
        </w:rPr>
        <w:t xml:space="preserve"> et al. used W303 strain, and that the stress perturbations we used in our experiments overlap but identical to the conditions they checked (for example: we haven’t done experiments in Ethanol 3%).</w:t>
      </w:r>
    </w:p>
    <w:p w:rsidR="00DC18D4" w:rsidRDefault="00DC18D4" w:rsidP="00DC18D4">
      <w:pPr>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Calibri Light"/>
          <w:color w:val="000000"/>
          <w:sz w:val="22"/>
          <w:szCs w:val="22"/>
          <w:u w:color="000000"/>
          <w:lang w:bidi="he-IL"/>
        </w:rPr>
      </w:pPr>
    </w:p>
    <w:p w:rsidR="00DC18D4" w:rsidRDefault="00DC18D4" w:rsidP="00DC18D4">
      <w:pPr>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Calibri Light"/>
          <w:color w:val="000000"/>
          <w:sz w:val="22"/>
          <w:szCs w:val="22"/>
          <w:u w:color="000000"/>
          <w:lang w:bidi="he-IL"/>
        </w:rPr>
      </w:pPr>
    </w:p>
    <w:p w:rsidR="00DC18D4" w:rsidRDefault="00DC18D4" w:rsidP="00DC18D4">
      <w:pPr>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Calibri Light"/>
          <w:color w:val="000000"/>
          <w:sz w:val="22"/>
          <w:szCs w:val="22"/>
          <w:u w:color="000000"/>
          <w:lang w:bidi="he-IL"/>
        </w:rPr>
      </w:pPr>
    </w:p>
    <w:p w:rsidR="00DC18D4" w:rsidRPr="00DC18D4" w:rsidRDefault="00DC18D4" w:rsidP="00DC18D4">
      <w:pPr>
        <w:pStyle w:val="SMHeading"/>
        <w:rPr>
          <w:rStyle w:val="None"/>
        </w:rPr>
      </w:pPr>
      <w:r>
        <w:t>References</w:t>
      </w:r>
    </w:p>
    <w:p w:rsidR="00DC18D4" w:rsidRDefault="00DC18D4" w:rsidP="00DC18D4">
      <w:pPr>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Calibri Light"/>
          <w:color w:val="000000"/>
          <w:sz w:val="22"/>
          <w:szCs w:val="22"/>
          <w:u w:color="000000"/>
          <w:lang w:bidi="he-IL"/>
        </w:rPr>
      </w:pPr>
    </w:p>
    <w:p w:rsidR="00DC18D4" w:rsidRPr="00DC18D4" w:rsidRDefault="00DC18D4" w:rsidP="00DC18D4">
      <w:pPr>
        <w:widowControl w:val="0"/>
        <w:autoSpaceDE w:val="0"/>
        <w:autoSpaceDN w:val="0"/>
        <w:adjustRightInd w:val="0"/>
        <w:ind w:left="640" w:hanging="640"/>
        <w:rPr>
          <w:noProof/>
          <w:sz w:val="22"/>
        </w:rPr>
      </w:pPr>
      <w:r>
        <w:rPr>
          <w:rStyle w:val="None"/>
          <w:rFonts w:eastAsia="Calibri Light"/>
          <w:color w:val="000000"/>
          <w:sz w:val="22"/>
          <w:szCs w:val="22"/>
          <w:u w:color="000000"/>
          <w:lang w:bidi="he-IL"/>
        </w:rPr>
        <w:fldChar w:fldCharType="begin" w:fldLock="1"/>
      </w:r>
      <w:r>
        <w:rPr>
          <w:rStyle w:val="None"/>
          <w:rFonts w:eastAsia="Calibri Light"/>
          <w:color w:val="000000"/>
          <w:sz w:val="22"/>
          <w:szCs w:val="22"/>
          <w:u w:color="000000"/>
          <w:lang w:bidi="he-IL"/>
        </w:rPr>
        <w:instrText xml:space="preserve">ADDIN Mendeley Bibliography CSL_BIBLIOGRAPHY </w:instrText>
      </w:r>
      <w:r>
        <w:rPr>
          <w:rStyle w:val="None"/>
          <w:rFonts w:eastAsia="Calibri Light"/>
          <w:color w:val="000000"/>
          <w:sz w:val="22"/>
          <w:szCs w:val="22"/>
          <w:u w:color="000000"/>
          <w:lang w:bidi="he-IL"/>
        </w:rPr>
        <w:fldChar w:fldCharType="separate"/>
      </w:r>
      <w:r w:rsidRPr="00DC18D4">
        <w:rPr>
          <w:noProof/>
          <w:sz w:val="22"/>
        </w:rPr>
        <w:t xml:space="preserve">1. </w:t>
      </w:r>
      <w:r w:rsidRPr="00DC18D4">
        <w:rPr>
          <w:noProof/>
          <w:sz w:val="22"/>
        </w:rPr>
        <w:tab/>
        <w:t>AkhavanAghdam Z, Sinha J, Tabbaa OP, Hao N. Dynamic control of gene regulatory logic by seemingly redundant transcription factors. Elife. 2016;5. doi:10.7554/eLife.18458</w:t>
      </w:r>
    </w:p>
    <w:p w:rsidR="00DC18D4" w:rsidRPr="00DC18D4" w:rsidRDefault="00DC18D4" w:rsidP="00DC18D4">
      <w:pPr>
        <w:widowControl w:val="0"/>
        <w:autoSpaceDE w:val="0"/>
        <w:autoSpaceDN w:val="0"/>
        <w:adjustRightInd w:val="0"/>
        <w:ind w:left="640" w:hanging="640"/>
        <w:rPr>
          <w:noProof/>
          <w:sz w:val="22"/>
        </w:rPr>
      </w:pPr>
      <w:r w:rsidRPr="00DC18D4">
        <w:rPr>
          <w:noProof/>
          <w:sz w:val="22"/>
        </w:rPr>
        <w:t xml:space="preserve">2. </w:t>
      </w:r>
      <w:r w:rsidRPr="00DC18D4">
        <w:rPr>
          <w:noProof/>
          <w:sz w:val="22"/>
        </w:rPr>
        <w:tab/>
        <w:t>Newman JRS, Ghaemmaghami S, Ihmels J, Breslow DK, Noble M, DeRisi JL, et al. Single-cell proteomic analysis of S. cerevisiae reveals the architecture of biological noise. Nature. 2006;441: 840–846. doi:10.1038/nature04785</w:t>
      </w:r>
    </w:p>
    <w:p w:rsidR="00DC18D4" w:rsidRPr="00DC18D4" w:rsidRDefault="00DC18D4" w:rsidP="00DC18D4">
      <w:pPr>
        <w:widowControl w:val="0"/>
        <w:autoSpaceDE w:val="0"/>
        <w:autoSpaceDN w:val="0"/>
        <w:adjustRightInd w:val="0"/>
        <w:ind w:left="640" w:hanging="640"/>
        <w:rPr>
          <w:noProof/>
          <w:sz w:val="22"/>
        </w:rPr>
      </w:pPr>
      <w:r w:rsidRPr="00DC18D4">
        <w:rPr>
          <w:noProof/>
          <w:sz w:val="22"/>
        </w:rPr>
        <w:t xml:space="preserve">3. </w:t>
      </w:r>
      <w:r w:rsidRPr="00DC18D4">
        <w:rPr>
          <w:noProof/>
          <w:sz w:val="22"/>
        </w:rPr>
        <w:tab/>
        <w:t>Breker M, Gymrek M, Moldavski O, Schuldiner M. LoQAtE—Localization and Quantitation ATlas of the yeast proteomE. A new tool for multiparametric dissection of single-protein behavior in response to biological perturbations in yeast. Nucleic Acids Res. 2014;42: D726–D730. doi:10.1093/nar/gkt933</w:t>
      </w:r>
    </w:p>
    <w:p w:rsidR="00DC18D4" w:rsidRPr="00DC18D4" w:rsidRDefault="00DC18D4" w:rsidP="00DC18D4">
      <w:pPr>
        <w:widowControl w:val="0"/>
        <w:autoSpaceDE w:val="0"/>
        <w:autoSpaceDN w:val="0"/>
        <w:adjustRightInd w:val="0"/>
        <w:ind w:left="640" w:hanging="640"/>
        <w:rPr>
          <w:noProof/>
          <w:sz w:val="22"/>
        </w:rPr>
      </w:pPr>
      <w:r w:rsidRPr="00DC18D4">
        <w:rPr>
          <w:noProof/>
          <w:sz w:val="22"/>
        </w:rPr>
        <w:t xml:space="preserve">4. </w:t>
      </w:r>
      <w:r w:rsidRPr="00DC18D4">
        <w:rPr>
          <w:noProof/>
          <w:sz w:val="22"/>
        </w:rPr>
        <w:tab/>
        <w:t>Huh W-K, Falvo J V., Gerke LC, Carroll AS, Howson RW, Weissman JS, et al. Global analysis of protein localization in budding yeast. Nature. 2003;425: 686–691. doi:10.1038/nature02026</w:t>
      </w:r>
    </w:p>
    <w:p w:rsidR="00DC18D4" w:rsidRDefault="00DC18D4" w:rsidP="00DC18D4">
      <w:pPr>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Calibri Light"/>
          <w:color w:val="000000"/>
          <w:sz w:val="22"/>
          <w:szCs w:val="22"/>
          <w:u w:color="000000"/>
          <w:lang w:bidi="he-IL"/>
        </w:rPr>
      </w:pPr>
      <w:r>
        <w:rPr>
          <w:rStyle w:val="None"/>
          <w:rFonts w:eastAsia="Calibri Light"/>
          <w:color w:val="000000"/>
          <w:sz w:val="22"/>
          <w:szCs w:val="22"/>
          <w:u w:color="000000"/>
          <w:lang w:bidi="he-IL"/>
        </w:rPr>
        <w:fldChar w:fldCharType="end"/>
      </w:r>
    </w:p>
    <w:p w:rsidR="00DC18D4" w:rsidRDefault="00DC18D4" w:rsidP="00DC18D4">
      <w:pPr>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Calibri Light"/>
          <w:color w:val="000000"/>
          <w:sz w:val="22"/>
          <w:szCs w:val="22"/>
          <w:u w:color="000000"/>
          <w:lang w:bidi="he-IL"/>
        </w:rPr>
      </w:pPr>
    </w:p>
    <w:p w:rsidR="00DC18D4" w:rsidRPr="009456B8" w:rsidRDefault="00DC18D4" w:rsidP="00DC18D4">
      <w:pPr>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Calibri Light"/>
          <w:color w:val="000000"/>
          <w:sz w:val="22"/>
          <w:szCs w:val="22"/>
          <w:u w:color="000000"/>
          <w:lang w:bidi="he-IL"/>
        </w:rPr>
      </w:pPr>
    </w:p>
    <w:p w:rsidR="00192677" w:rsidRDefault="00192677"/>
    <w:sectPr w:rsidR="001926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Arial Unicode MS">
    <w:altName w:val="Meiryo"/>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D4"/>
    <w:rsid w:val="00192677"/>
    <w:rsid w:val="00643A4E"/>
    <w:rsid w:val="00814D38"/>
    <w:rsid w:val="00BA74D3"/>
    <w:rsid w:val="00DC18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60E2"/>
  <w15:chartTrackingRefBased/>
  <w15:docId w15:val="{9D4A2062-B570-48CC-B746-C89A94E7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18D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bidi="ar-SA"/>
    </w:rPr>
  </w:style>
  <w:style w:type="paragraph" w:styleId="Heading1">
    <w:name w:val="heading 1"/>
    <w:basedOn w:val="Normal"/>
    <w:next w:val="Normal"/>
    <w:link w:val="Heading1Char"/>
    <w:uiPriority w:val="9"/>
    <w:qFormat/>
    <w:rsid w:val="00DC18D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DC18D4"/>
  </w:style>
  <w:style w:type="paragraph" w:customStyle="1" w:styleId="SMHeading">
    <w:name w:val="SM Heading"/>
    <w:basedOn w:val="Heading1"/>
    <w:qFormat/>
    <w:rsid w:val="00DC18D4"/>
    <w:pPr>
      <w:keepLines w:val="0"/>
      <w:pBdr>
        <w:top w:val="none" w:sz="0" w:space="0" w:color="auto"/>
        <w:left w:val="none" w:sz="0" w:space="0" w:color="auto"/>
        <w:bottom w:val="none" w:sz="0" w:space="0" w:color="auto"/>
        <w:right w:val="none" w:sz="0" w:space="0" w:color="auto"/>
        <w:between w:val="none" w:sz="0" w:space="0" w:color="auto"/>
        <w:bar w:val="none" w:sz="0" w:color="auto"/>
      </w:pBdr>
      <w:spacing w:after="60"/>
    </w:pPr>
    <w:rPr>
      <w:rFonts w:ascii="Times New Roman" w:eastAsia="Times New Roman" w:hAnsi="Times New Roman" w:cs="Times New Roman"/>
      <w:b/>
      <w:bCs/>
      <w:color w:val="auto"/>
      <w:kern w:val="32"/>
      <w:sz w:val="24"/>
      <w:szCs w:val="24"/>
      <w:bdr w:val="none" w:sz="0" w:space="0" w:color="auto"/>
    </w:rPr>
  </w:style>
  <w:style w:type="character" w:customStyle="1" w:styleId="Heading1Char">
    <w:name w:val="Heading 1 Char"/>
    <w:basedOn w:val="DefaultParagraphFont"/>
    <w:link w:val="Heading1"/>
    <w:uiPriority w:val="9"/>
    <w:rsid w:val="00DC18D4"/>
    <w:rPr>
      <w:rFonts w:asciiTheme="majorHAnsi" w:eastAsiaTheme="majorEastAsia" w:hAnsiTheme="majorHAnsi" w:cstheme="majorBidi"/>
      <w:color w:val="2E74B5" w:themeColor="accent1" w:themeShade="BF"/>
      <w:sz w:val="32"/>
      <w:szCs w:val="32"/>
      <w:bdr w:val="ni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AED6B-3660-465C-B312-9A8350EE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1340</Words>
  <Characters>7643</Characters>
  <Application>Microsoft Office Word</Application>
  <DocSecurity>0</DocSecurity>
  <Lines>63</Lines>
  <Paragraphs>17</Paragraphs>
  <ScaleCrop>false</ScaleCrop>
  <Company>WIS</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Chapal</dc:creator>
  <cp:keywords/>
  <dc:description/>
  <cp:lastModifiedBy>Michal Chapal</cp:lastModifiedBy>
  <cp:revision>2</cp:revision>
  <dcterms:created xsi:type="dcterms:W3CDTF">2019-09-28T06:48:00Z</dcterms:created>
  <dcterms:modified xsi:type="dcterms:W3CDTF">2019-09-28T11:17:00Z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http://www.zotero.org/styles/plos-biology</vt:lpwstr>
  </property>
  <property fmtid="{D5CDD505-2E9C-101B-9397-08002B2CF9AE}" pid="21" name="Mendeley Recent Style Name 9_1">
    <vt:lpwstr>PLOS Biology</vt:lpwstr>
  </property>
  <property fmtid="{D5CDD505-2E9C-101B-9397-08002B2CF9AE}" pid="22" name="Mendeley Document_1">
    <vt:lpwstr>True</vt:lpwstr>
  </property>
  <property fmtid="{D5CDD505-2E9C-101B-9397-08002B2CF9AE}" pid="23" name="Mendeley Unique User Id_1">
    <vt:lpwstr>9274194d-f642-3e97-aa70-232d315e8482</vt:lpwstr>
  </property>
  <property fmtid="{D5CDD505-2E9C-101B-9397-08002B2CF9AE}" pid="24" name="Mendeley Citation Style_1">
    <vt:lpwstr>http://www.zotero.org/styles/plos-biology</vt:lpwstr>
  </property>
</Properties>
</file>