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B48FC" w14:textId="6FB5FBFA" w:rsidR="0096115C" w:rsidRPr="00294BAA" w:rsidRDefault="00D03E1B" w:rsidP="00873C0E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S2 Text.</w:t>
      </w:r>
      <w:r w:rsidR="0096115C" w:rsidRPr="00294BAA">
        <w:rPr>
          <w:b/>
          <w:lang w:val="en-GB"/>
        </w:rPr>
        <w:t xml:space="preserve"> Illustrative example comparing conventional and group sequential designs using real experimental data from a pre</w:t>
      </w:r>
      <w:r w:rsidR="001D42FD" w:rsidRPr="00294BAA">
        <w:rPr>
          <w:b/>
          <w:lang w:val="en-GB"/>
        </w:rPr>
        <w:t>-</w:t>
      </w:r>
      <w:r w:rsidR="0096115C" w:rsidRPr="00294BAA">
        <w:rPr>
          <w:b/>
          <w:lang w:val="en-GB"/>
        </w:rPr>
        <w:t>clinical study in mice</w:t>
      </w:r>
    </w:p>
    <w:p w14:paraId="019BE7EF" w14:textId="77777777" w:rsidR="0096115C" w:rsidRPr="00294BAA" w:rsidRDefault="0096115C" w:rsidP="00873C0E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14:paraId="551D5D04" w14:textId="6707DAED" w:rsidR="0096115C" w:rsidRPr="00294BAA" w:rsidRDefault="0096115C" w:rsidP="00873C0E">
      <w:pPr>
        <w:pStyle w:val="ListParagraph"/>
        <w:spacing w:line="480" w:lineRule="auto"/>
        <w:ind w:left="0"/>
        <w:jc w:val="both"/>
        <w:rPr>
          <w:rFonts w:asciiTheme="minorHAnsi" w:hAnsiTheme="minorHAnsi"/>
          <w:lang w:val="en-GB"/>
        </w:rPr>
      </w:pPr>
      <w:r w:rsidRPr="00294BAA">
        <w:rPr>
          <w:rFonts w:asciiTheme="minorHAnsi" w:hAnsiTheme="minorHAnsi"/>
          <w:lang w:val="en-GB"/>
        </w:rPr>
        <w:t>To demonstrate how group sequential trial designs would affect the course and interpretation of results in a typical pre</w:t>
      </w:r>
      <w:r w:rsidR="001D42FD" w:rsidRPr="00294BAA">
        <w:rPr>
          <w:rFonts w:asciiTheme="minorHAnsi" w:hAnsiTheme="minorHAnsi"/>
          <w:lang w:val="en-GB"/>
        </w:rPr>
        <w:t>-</w:t>
      </w:r>
      <w:r w:rsidRPr="00294BAA">
        <w:rPr>
          <w:rFonts w:asciiTheme="minorHAnsi" w:hAnsiTheme="minorHAnsi"/>
          <w:lang w:val="en-GB"/>
        </w:rPr>
        <w:t xml:space="preserve">clinical study we use real data from an experimental study </w:t>
      </w:r>
      <w:r w:rsidR="001D42FD" w:rsidRPr="00294BAA">
        <w:rPr>
          <w:rFonts w:asciiTheme="minorHAnsi" w:hAnsiTheme="minorHAnsi"/>
          <w:lang w:val="en-GB"/>
        </w:rPr>
        <w:t xml:space="preserve">of stroke </w:t>
      </w:r>
      <w:r w:rsidRPr="00294BAA">
        <w:rPr>
          <w:rFonts w:asciiTheme="minorHAnsi" w:hAnsiTheme="minorHAnsi"/>
          <w:lang w:val="en-GB"/>
        </w:rPr>
        <w:t>in mice (</w:t>
      </w:r>
      <w:r w:rsidR="00F933E4">
        <w:rPr>
          <w:rFonts w:asciiTheme="minorHAnsi" w:hAnsiTheme="minorHAnsi"/>
          <w:lang w:val="en-GB"/>
        </w:rPr>
        <w:t>[1]</w:t>
      </w:r>
      <w:r w:rsidRPr="00294BAA">
        <w:rPr>
          <w:rFonts w:asciiTheme="minorHAnsi" w:hAnsiTheme="minorHAnsi"/>
          <w:lang w:val="en-GB"/>
        </w:rPr>
        <w:t xml:space="preserve">, </w:t>
      </w:r>
      <w:r w:rsidR="001D42FD" w:rsidRPr="00294BAA">
        <w:rPr>
          <w:rFonts w:asciiTheme="minorHAnsi" w:hAnsiTheme="minorHAnsi"/>
          <w:lang w:val="en-GB"/>
        </w:rPr>
        <w:t>(</w:t>
      </w:r>
      <w:r w:rsidRPr="00294BAA">
        <w:rPr>
          <w:rFonts w:asciiTheme="minorHAnsi" w:hAnsiTheme="minorHAnsi"/>
          <w:lang w:val="en-GB"/>
        </w:rPr>
        <w:t xml:space="preserve">original data given below, Table </w:t>
      </w:r>
      <w:r w:rsidR="00583F40" w:rsidRPr="00294BAA">
        <w:rPr>
          <w:rFonts w:asciiTheme="minorHAnsi" w:hAnsiTheme="minorHAnsi"/>
          <w:lang w:val="en-GB"/>
        </w:rPr>
        <w:t>A</w:t>
      </w:r>
      <w:r w:rsidRPr="00294BAA">
        <w:rPr>
          <w:rFonts w:asciiTheme="minorHAnsi" w:hAnsiTheme="minorHAnsi"/>
          <w:lang w:val="en-GB"/>
        </w:rPr>
        <w:t>). Th</w:t>
      </w:r>
      <w:r w:rsidR="001D42FD" w:rsidRPr="00294BAA">
        <w:rPr>
          <w:rFonts w:asciiTheme="minorHAnsi" w:hAnsiTheme="minorHAnsi"/>
          <w:lang w:val="en-GB"/>
        </w:rPr>
        <w:t>ese</w:t>
      </w:r>
      <w:r w:rsidRPr="00294BAA">
        <w:rPr>
          <w:rFonts w:asciiTheme="minorHAnsi" w:hAnsiTheme="minorHAnsi"/>
          <w:lang w:val="en-GB"/>
        </w:rPr>
        <w:t xml:space="preserve"> data w</w:t>
      </w:r>
      <w:r w:rsidR="001D42FD" w:rsidRPr="00294BAA">
        <w:rPr>
          <w:rFonts w:asciiTheme="minorHAnsi" w:hAnsiTheme="minorHAnsi"/>
          <w:lang w:val="en-GB"/>
        </w:rPr>
        <w:t>ere</w:t>
      </w:r>
      <w:r w:rsidRPr="00294BAA">
        <w:rPr>
          <w:rFonts w:asciiTheme="minorHAnsi" w:hAnsiTheme="minorHAnsi"/>
          <w:lang w:val="en-GB"/>
        </w:rPr>
        <w:t xml:space="preserve"> analysed with group sequential approaches by assigning the mice to virtual batches and analysing the batches </w:t>
      </w:r>
      <w:r w:rsidRPr="00294BAA">
        <w:rPr>
          <w:rFonts w:asciiTheme="minorHAnsi" w:hAnsiTheme="minorHAnsi"/>
          <w:i/>
          <w:lang w:val="en-GB"/>
        </w:rPr>
        <w:t>post-hoc</w:t>
      </w:r>
      <w:r w:rsidRPr="00294BAA">
        <w:rPr>
          <w:rFonts w:asciiTheme="minorHAnsi" w:hAnsiTheme="minorHAnsi"/>
          <w:lang w:val="en-GB"/>
        </w:rPr>
        <w:t xml:space="preserve"> as if a group sequential design was used. The original study investigated whether a putative neuroprotective compound reduces brain infarct sizes in a widely used experimental murine stroke model</w:t>
      </w:r>
      <w:r w:rsidR="00E11406">
        <w:rPr>
          <w:rFonts w:asciiTheme="minorHAnsi" w:hAnsiTheme="minorHAnsi"/>
          <w:lang w:val="en-GB"/>
        </w:rPr>
        <w:t xml:space="preserve"> [1]</w:t>
      </w:r>
      <w:r w:rsidRPr="00294BAA">
        <w:rPr>
          <w:rFonts w:asciiTheme="minorHAnsi" w:hAnsiTheme="minorHAnsi"/>
          <w:lang w:val="en-GB"/>
        </w:rPr>
        <w:t>. Mice received either saline or the compound dissolved in saline</w:t>
      </w:r>
      <w:r w:rsidR="001D42FD" w:rsidRPr="00294BAA">
        <w:rPr>
          <w:rFonts w:asciiTheme="minorHAnsi" w:hAnsiTheme="minorHAnsi"/>
          <w:lang w:val="en-GB"/>
        </w:rPr>
        <w:t xml:space="preserve"> intra-peritoneally</w:t>
      </w:r>
      <w:r w:rsidRPr="00294BAA">
        <w:rPr>
          <w:rFonts w:asciiTheme="minorHAnsi" w:hAnsiTheme="minorHAnsi"/>
          <w:lang w:val="en-GB"/>
        </w:rPr>
        <w:t>, starting 6 hours after transient occlusion of the middle cerebral artery for one hour. Three days afterwards, brain infarcts were quantified histologically. In the control group 2 mice had to be excluded due to mortality during surgery (i.e. befor</w:t>
      </w:r>
      <w:bookmarkStart w:id="0" w:name="_GoBack"/>
      <w:bookmarkEnd w:id="0"/>
      <w:r w:rsidRPr="00294BAA">
        <w:rPr>
          <w:rFonts w:asciiTheme="minorHAnsi" w:hAnsiTheme="minorHAnsi"/>
          <w:lang w:val="en-GB"/>
        </w:rPr>
        <w:t>e onset of treatment), resulting in a final sample size of 34. The study was conducted with a conventional frequentist design of batches of 18 and 18 mice, and was powered to detect an effect size of d=1 at α=0.05 and ß=0.2.</w:t>
      </w:r>
    </w:p>
    <w:p w14:paraId="62864E33" w14:textId="502BFE12" w:rsidR="0096115C" w:rsidRPr="00294BAA" w:rsidRDefault="0096115C" w:rsidP="00873C0E">
      <w:pPr>
        <w:jc w:val="both"/>
        <w:rPr>
          <w:lang w:val="en-GB"/>
        </w:rPr>
      </w:pPr>
      <w:r w:rsidRPr="00294BAA">
        <w:rPr>
          <w:b/>
          <w:i/>
          <w:lang w:val="en-GB"/>
        </w:rPr>
        <w:t xml:space="preserve">Table </w:t>
      </w:r>
      <w:r w:rsidR="00583F40" w:rsidRPr="00294BAA">
        <w:rPr>
          <w:b/>
          <w:i/>
          <w:lang w:val="en-GB"/>
        </w:rPr>
        <w:t xml:space="preserve"> A</w:t>
      </w:r>
      <w:r w:rsidRPr="00294BAA">
        <w:rPr>
          <w:b/>
          <w:i/>
          <w:lang w:val="en-GB"/>
        </w:rPr>
        <w:t xml:space="preserve">: Raw data </w:t>
      </w:r>
      <w:r w:rsidR="00895CB8" w:rsidRPr="00294BAA">
        <w:rPr>
          <w:b/>
          <w:i/>
          <w:lang w:val="en-GB"/>
        </w:rPr>
        <w:t xml:space="preserve"> (infarct volume in </w:t>
      </w:r>
      <w:r w:rsidR="00663993" w:rsidRPr="00294BAA">
        <w:rPr>
          <w:b/>
          <w:i/>
          <w:lang w:val="en-GB"/>
        </w:rPr>
        <w:t>mm</w:t>
      </w:r>
      <w:r w:rsidR="00663993" w:rsidRPr="00294BAA">
        <w:rPr>
          <w:b/>
          <w:i/>
          <w:vertAlign w:val="superscript"/>
          <w:lang w:val="en-GB"/>
        </w:rPr>
        <w:t>3</w:t>
      </w:r>
      <w:r w:rsidR="00895CB8" w:rsidRPr="00294BAA">
        <w:rPr>
          <w:b/>
          <w:i/>
          <w:lang w:val="en-GB"/>
        </w:rPr>
        <w:t xml:space="preserve">) </w:t>
      </w:r>
      <w:r w:rsidRPr="00294BAA">
        <w:rPr>
          <w:b/>
          <w:i/>
          <w:lang w:val="en-GB"/>
        </w:rPr>
        <w:t xml:space="preserve">from illustrative example </w:t>
      </w:r>
      <w:r w:rsidRPr="00294BAA">
        <w:rPr>
          <w:b/>
          <w:i/>
          <w:lang w:val="en-GB"/>
        </w:rPr>
        <w:fldChar w:fldCharType="begin"/>
      </w:r>
      <w:r w:rsidR="00873C0E" w:rsidRPr="00294BAA">
        <w:rPr>
          <w:b/>
          <w:i/>
          <w:lang w:val="en-GB"/>
        </w:rPr>
        <w:instrText xml:space="preserve"> ADDIN EN.CITE &lt;EndNote&gt;&lt;Cite&gt;&lt;Author&gt;Engel&lt;/Author&gt;&lt;Year&gt;2011&lt;/Year&gt;&lt;RecNum&gt;75&lt;/RecNum&gt;&lt;DisplayText&gt;[10]&lt;/DisplayText&gt;&lt;record&gt;&lt;rec-number&gt;75&lt;/rec-number&gt;&lt;foreign-keys&gt;&lt;key app="EN" db-id="2sddaxeace2fs6ee552xtpr40rtd0ep9x2tt" timestamp="1449666444"&gt;75&lt;/key&gt;&lt;/foreign-keys&gt;&lt;ref-type name="Journal Article"&gt;17&lt;/ref-type&gt;&lt;contributors&gt;&lt;authors&gt;&lt;author&gt;Engel, Odilo&lt;/author&gt;&lt;author&gt;Kolodziej, Sabine&lt;/author&gt;&lt;author&gt;Dirnagl, Ulrich&lt;/author&gt;&lt;author&gt;Prinz, Vincent&lt;/author&gt;&lt;/authors&gt;&lt;/contributors&gt;&lt;titles&gt;&lt;title&gt;Modeling stroke in mice-middle cerebral artery occlusion with the filament model&lt;/title&gt;&lt;secondary-title&gt;J Vis Exp&lt;/secondary-title&gt;&lt;/titles&gt;&lt;periodical&gt;&lt;full-title&gt;J Vis Exp&lt;/full-title&gt;&lt;/periodical&gt;&lt;pages&gt;2423&lt;/pages&gt;&lt;volume&gt;47&lt;/volume&gt;&lt;dates&gt;&lt;year&gt;2011&lt;/year&gt;&lt;/dates&gt;&lt;urls&gt;&lt;/urls&gt;&lt;/record&gt;&lt;/Cite&gt;&lt;/EndNote&gt;</w:instrText>
      </w:r>
      <w:r w:rsidRPr="00294BAA">
        <w:rPr>
          <w:b/>
          <w:i/>
          <w:lang w:val="en-GB"/>
        </w:rPr>
        <w:fldChar w:fldCharType="separate"/>
      </w:r>
      <w:r w:rsidR="00873C0E" w:rsidRPr="00294BAA">
        <w:rPr>
          <w:b/>
          <w:i/>
          <w:noProof/>
          <w:lang w:val="en-GB"/>
        </w:rPr>
        <w:t>[</w:t>
      </w:r>
      <w:r w:rsidR="00E11406">
        <w:rPr>
          <w:b/>
          <w:i/>
          <w:noProof/>
          <w:lang w:val="en-GB"/>
        </w:rPr>
        <w:t>1</w:t>
      </w:r>
      <w:r w:rsidR="00873C0E" w:rsidRPr="00294BAA">
        <w:rPr>
          <w:b/>
          <w:i/>
          <w:noProof/>
          <w:lang w:val="en-GB"/>
        </w:rPr>
        <w:t>]</w:t>
      </w:r>
      <w:r w:rsidRPr="00294BAA">
        <w:rPr>
          <w:b/>
          <w:i/>
          <w:lang w:val="en-GB"/>
        </w:rPr>
        <w:fldChar w:fldCharType="end"/>
      </w:r>
      <w:r w:rsidRPr="00294BAA">
        <w:rPr>
          <w:b/>
          <w:i/>
          <w:lang w:val="en-GB"/>
        </w:rPr>
        <w:t xml:space="preserve">: 18 versus 16 mice (2 drop outs)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1560"/>
      </w:tblGrid>
      <w:tr w:rsidR="0096115C" w:rsidRPr="00294BAA" w14:paraId="71D2B524" w14:textId="77777777" w:rsidTr="00E62ECB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E779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EAD8" w14:textId="77777777" w:rsidR="0096115C" w:rsidRPr="00294BAA" w:rsidRDefault="0096115C" w:rsidP="00873C0E">
            <w:pPr>
              <w:spacing w:before="60" w:after="60"/>
              <w:jc w:val="both"/>
              <w:rPr>
                <w:b/>
                <w:lang w:val="en-GB"/>
              </w:rPr>
            </w:pPr>
            <w:r w:rsidRPr="00294BAA">
              <w:rPr>
                <w:b/>
                <w:lang w:val="en-GB"/>
              </w:rPr>
              <w:t>control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C2ACC" w14:textId="77777777" w:rsidR="0096115C" w:rsidRPr="00294BAA" w:rsidRDefault="0096115C" w:rsidP="00873C0E">
            <w:pPr>
              <w:spacing w:before="60" w:after="60"/>
              <w:jc w:val="both"/>
              <w:rPr>
                <w:b/>
                <w:lang w:val="en-GB"/>
              </w:rPr>
            </w:pPr>
            <w:r w:rsidRPr="00294BAA">
              <w:rPr>
                <w:b/>
                <w:lang w:val="en-GB"/>
              </w:rPr>
              <w:t>intervention</w:t>
            </w:r>
          </w:p>
        </w:tc>
      </w:tr>
      <w:tr w:rsidR="0096115C" w:rsidRPr="00294BAA" w14:paraId="2A0EAE4B" w14:textId="77777777" w:rsidTr="00E62ECB">
        <w:trPr>
          <w:jc w:val="center"/>
        </w:trPr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14:paraId="3B7C0889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  <w:r w:rsidRPr="00294BAA">
              <w:rPr>
                <w:b/>
                <w:lang w:val="en-GB"/>
              </w:rPr>
              <w:t>Stage1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603D53" w14:textId="77777777" w:rsidR="0096115C" w:rsidRPr="00294BAA" w:rsidRDefault="0096115C" w:rsidP="00873C0E">
            <w:pPr>
              <w:jc w:val="both"/>
              <w:rPr>
                <w:color w:val="000000"/>
                <w:lang w:eastAsia="de-DE"/>
              </w:rPr>
            </w:pPr>
            <w:r w:rsidRPr="00294BAA">
              <w:rPr>
                <w:color w:val="000000"/>
                <w:lang w:eastAsia="de-DE"/>
              </w:rPr>
              <w:t>91.5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71D4C8E" w14:textId="77777777" w:rsidR="0096115C" w:rsidRPr="00294BAA" w:rsidRDefault="0096115C" w:rsidP="00873C0E">
            <w:pPr>
              <w:jc w:val="both"/>
              <w:rPr>
                <w:color w:val="000000"/>
                <w:lang w:eastAsia="de-DE"/>
              </w:rPr>
            </w:pPr>
            <w:r w:rsidRPr="00294BAA">
              <w:rPr>
                <w:color w:val="000000"/>
                <w:lang w:eastAsia="de-DE"/>
              </w:rPr>
              <w:t>40.7</w:t>
            </w:r>
          </w:p>
        </w:tc>
      </w:tr>
      <w:tr w:rsidR="0096115C" w:rsidRPr="00294BAA" w14:paraId="45C9DF26" w14:textId="77777777" w:rsidTr="00E62ECB">
        <w:trPr>
          <w:jc w:val="center"/>
        </w:trPr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14:paraId="10412A66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04328B" w14:textId="77777777" w:rsidR="0096115C" w:rsidRPr="00294BAA" w:rsidRDefault="0096115C" w:rsidP="00873C0E">
            <w:pPr>
              <w:jc w:val="both"/>
              <w:rPr>
                <w:color w:val="000000"/>
                <w:lang w:eastAsia="de-DE"/>
              </w:rPr>
            </w:pPr>
            <w:r w:rsidRPr="00294BAA">
              <w:rPr>
                <w:color w:val="000000"/>
                <w:lang w:eastAsia="de-DE"/>
              </w:rPr>
              <w:t>71.2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F13CDC5" w14:textId="77777777" w:rsidR="0096115C" w:rsidRPr="00294BAA" w:rsidRDefault="0096115C" w:rsidP="00873C0E">
            <w:pPr>
              <w:jc w:val="both"/>
              <w:rPr>
                <w:color w:val="000000"/>
                <w:lang w:eastAsia="de-DE"/>
              </w:rPr>
            </w:pPr>
            <w:r w:rsidRPr="00294BAA">
              <w:rPr>
                <w:color w:val="000000"/>
                <w:lang w:eastAsia="de-DE"/>
              </w:rPr>
              <w:t>53.8</w:t>
            </w:r>
          </w:p>
        </w:tc>
      </w:tr>
      <w:tr w:rsidR="0096115C" w:rsidRPr="00294BAA" w14:paraId="25BE6AB0" w14:textId="77777777" w:rsidTr="00E62ECB">
        <w:trPr>
          <w:jc w:val="center"/>
        </w:trPr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14:paraId="6C8293D0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6D78B0" w14:textId="77777777" w:rsidR="0096115C" w:rsidRPr="00294BAA" w:rsidRDefault="0096115C" w:rsidP="00873C0E">
            <w:pPr>
              <w:jc w:val="both"/>
              <w:rPr>
                <w:color w:val="000000"/>
                <w:lang w:eastAsia="de-DE"/>
              </w:rPr>
            </w:pPr>
            <w:r w:rsidRPr="00294BAA">
              <w:rPr>
                <w:color w:val="000000"/>
                <w:lang w:eastAsia="de-DE"/>
              </w:rPr>
              <w:t>64.9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ABBE7F4" w14:textId="77777777" w:rsidR="0096115C" w:rsidRPr="00294BAA" w:rsidRDefault="0096115C" w:rsidP="00873C0E">
            <w:pPr>
              <w:jc w:val="both"/>
              <w:rPr>
                <w:color w:val="000000"/>
                <w:lang w:eastAsia="de-DE"/>
              </w:rPr>
            </w:pPr>
            <w:r w:rsidRPr="00294BAA">
              <w:rPr>
                <w:color w:val="000000"/>
                <w:lang w:eastAsia="de-DE"/>
              </w:rPr>
              <w:t>44.9</w:t>
            </w:r>
          </w:p>
        </w:tc>
      </w:tr>
      <w:tr w:rsidR="0096115C" w:rsidRPr="00294BAA" w14:paraId="4DCAAA8B" w14:textId="77777777" w:rsidTr="00E62ECB">
        <w:trPr>
          <w:jc w:val="center"/>
        </w:trPr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14:paraId="150F9CC2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FD8882" w14:textId="77777777" w:rsidR="0096115C" w:rsidRPr="00294BAA" w:rsidRDefault="0096115C" w:rsidP="00873C0E">
            <w:pPr>
              <w:jc w:val="both"/>
              <w:rPr>
                <w:color w:val="000000"/>
                <w:lang w:eastAsia="de-DE"/>
              </w:rPr>
            </w:pPr>
            <w:r w:rsidRPr="00294BAA">
              <w:rPr>
                <w:color w:val="000000"/>
                <w:lang w:eastAsia="de-DE"/>
              </w:rPr>
              <w:t>54.8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36AA863" w14:textId="77777777" w:rsidR="0096115C" w:rsidRPr="00294BAA" w:rsidRDefault="0096115C" w:rsidP="00873C0E">
            <w:pPr>
              <w:jc w:val="both"/>
              <w:rPr>
                <w:color w:val="000000"/>
                <w:lang w:eastAsia="de-DE"/>
              </w:rPr>
            </w:pPr>
            <w:r w:rsidRPr="00294BAA">
              <w:rPr>
                <w:color w:val="000000"/>
                <w:lang w:eastAsia="de-DE"/>
              </w:rPr>
              <w:t>72.6</w:t>
            </w:r>
          </w:p>
        </w:tc>
      </w:tr>
      <w:tr w:rsidR="0096115C" w:rsidRPr="00294BAA" w14:paraId="4E5357A4" w14:textId="77777777" w:rsidTr="00E62ECB">
        <w:trPr>
          <w:jc w:val="center"/>
        </w:trPr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14:paraId="72FD6265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B4BCF7" w14:textId="77777777" w:rsidR="0096115C" w:rsidRPr="00294BAA" w:rsidRDefault="0096115C" w:rsidP="00873C0E">
            <w:pPr>
              <w:jc w:val="both"/>
              <w:rPr>
                <w:color w:val="000000"/>
                <w:lang w:eastAsia="de-DE"/>
              </w:rPr>
            </w:pPr>
            <w:r w:rsidRPr="00294BAA">
              <w:rPr>
                <w:color w:val="000000"/>
                <w:lang w:eastAsia="de-DE"/>
              </w:rPr>
              <w:t>62.7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9C24EBD" w14:textId="77777777" w:rsidR="0096115C" w:rsidRPr="00294BAA" w:rsidRDefault="0096115C" w:rsidP="00873C0E">
            <w:pPr>
              <w:jc w:val="both"/>
              <w:rPr>
                <w:color w:val="000000"/>
                <w:lang w:eastAsia="de-DE"/>
              </w:rPr>
            </w:pPr>
            <w:r w:rsidRPr="00294BAA">
              <w:rPr>
                <w:color w:val="000000"/>
                <w:lang w:eastAsia="de-DE"/>
              </w:rPr>
              <w:t>50.6</w:t>
            </w:r>
          </w:p>
        </w:tc>
      </w:tr>
      <w:tr w:rsidR="0096115C" w:rsidRPr="00294BAA" w14:paraId="6CA50213" w14:textId="77777777" w:rsidTr="00E62ECB">
        <w:trPr>
          <w:jc w:val="center"/>
        </w:trPr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560425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E9E9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  <w:r w:rsidRPr="00294BAA">
              <w:rPr>
                <w:lang w:val="en-GB"/>
              </w:rPr>
              <w:t>--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CBF9431" w14:textId="77777777" w:rsidR="0096115C" w:rsidRPr="00294BAA" w:rsidRDefault="0096115C" w:rsidP="00873C0E">
            <w:pPr>
              <w:jc w:val="both"/>
              <w:rPr>
                <w:color w:val="000000"/>
                <w:lang w:eastAsia="de-DE"/>
              </w:rPr>
            </w:pPr>
            <w:r w:rsidRPr="00294BAA">
              <w:rPr>
                <w:color w:val="000000"/>
                <w:lang w:eastAsia="de-DE"/>
              </w:rPr>
              <w:t>49.2</w:t>
            </w:r>
          </w:p>
        </w:tc>
      </w:tr>
      <w:tr w:rsidR="0096115C" w:rsidRPr="00294BAA" w14:paraId="64A17CD7" w14:textId="77777777" w:rsidTr="00E62ECB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4D90C9" w14:textId="77777777" w:rsidR="0096115C" w:rsidRPr="00294BAA" w:rsidRDefault="0096115C" w:rsidP="00873C0E">
            <w:pPr>
              <w:jc w:val="both"/>
              <w:rPr>
                <w:color w:val="000000"/>
                <w:lang w:eastAsia="de-DE"/>
              </w:rPr>
            </w:pPr>
            <w:r w:rsidRPr="00294BAA">
              <w:rPr>
                <w:lang w:val="en-US"/>
              </w:rPr>
              <w:t>Sample size (stage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8287D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  <w:r w:rsidRPr="00294BAA">
              <w:rPr>
                <w:lang w:val="en-GB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F62977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  <w:r w:rsidRPr="00294BAA">
              <w:rPr>
                <w:lang w:val="en-GB"/>
              </w:rPr>
              <w:t>6</w:t>
            </w:r>
          </w:p>
        </w:tc>
      </w:tr>
      <w:tr w:rsidR="0096115C" w:rsidRPr="00294BAA" w14:paraId="7F4CA327" w14:textId="77777777" w:rsidTr="00E62ECB">
        <w:trPr>
          <w:jc w:val="center"/>
        </w:trPr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F304E" w14:textId="77777777" w:rsidR="0096115C" w:rsidRPr="00294BAA" w:rsidRDefault="0096115C" w:rsidP="00873C0E">
            <w:pPr>
              <w:jc w:val="both"/>
              <w:rPr>
                <w:color w:val="000000"/>
                <w:lang w:eastAsia="de-DE"/>
              </w:rPr>
            </w:pPr>
            <w:r w:rsidRPr="00294BAA">
              <w:rPr>
                <w:color w:val="000000"/>
                <w:lang w:eastAsia="de-DE"/>
              </w:rPr>
              <w:t xml:space="preserve">Mean (SD)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DEE6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  <w:r w:rsidRPr="00294BAA">
              <w:rPr>
                <w:lang w:val="en-GB"/>
              </w:rPr>
              <w:t>69.0 (13.8)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701117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  <w:r w:rsidRPr="00294BAA">
              <w:rPr>
                <w:lang w:val="en-GB"/>
              </w:rPr>
              <w:t>52.0 (11.1)</w:t>
            </w:r>
          </w:p>
        </w:tc>
      </w:tr>
      <w:tr w:rsidR="0096115C" w:rsidRPr="00294BAA" w14:paraId="33303740" w14:textId="77777777" w:rsidTr="00E62ECB">
        <w:trPr>
          <w:jc w:val="center"/>
        </w:trPr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14:paraId="3A1BFC7D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  <w:r w:rsidRPr="00294BAA">
              <w:rPr>
                <w:b/>
                <w:lang w:val="en-GB"/>
              </w:rPr>
              <w:t>Stage2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B221D9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26.9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2C964E2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27.3</w:t>
            </w:r>
          </w:p>
        </w:tc>
      </w:tr>
      <w:tr w:rsidR="0096115C" w:rsidRPr="00294BAA" w14:paraId="486E98EF" w14:textId="77777777" w:rsidTr="00E62ECB">
        <w:trPr>
          <w:jc w:val="center"/>
        </w:trPr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14:paraId="5BC4638C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BCEC6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111.1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3A83E65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22.8</w:t>
            </w:r>
          </w:p>
        </w:tc>
      </w:tr>
      <w:tr w:rsidR="0096115C" w:rsidRPr="00294BAA" w14:paraId="4BED230F" w14:textId="77777777" w:rsidTr="00E62ECB">
        <w:trPr>
          <w:jc w:val="center"/>
        </w:trPr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14:paraId="55EDE669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AD1EF7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72.9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689B4E2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50.7</w:t>
            </w:r>
          </w:p>
        </w:tc>
      </w:tr>
      <w:tr w:rsidR="0096115C" w:rsidRPr="00294BAA" w14:paraId="07760196" w14:textId="77777777" w:rsidTr="00E62ECB">
        <w:trPr>
          <w:jc w:val="center"/>
        </w:trPr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14:paraId="6366D1EF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90B5B5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107.4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C97D293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77.9</w:t>
            </w:r>
          </w:p>
        </w:tc>
      </w:tr>
      <w:tr w:rsidR="0096115C" w:rsidRPr="00294BAA" w14:paraId="349FCD28" w14:textId="77777777" w:rsidTr="00E62ECB">
        <w:trPr>
          <w:jc w:val="center"/>
        </w:trPr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14:paraId="55278319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DD4B58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81.4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FA05313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58.4</w:t>
            </w:r>
          </w:p>
        </w:tc>
      </w:tr>
      <w:tr w:rsidR="0096115C" w:rsidRPr="00294BAA" w14:paraId="74A60EC4" w14:textId="77777777" w:rsidTr="00E62ECB">
        <w:trPr>
          <w:jc w:val="center"/>
        </w:trPr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8E356B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44B6B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93.9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74EE4A51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70.5</w:t>
            </w:r>
          </w:p>
        </w:tc>
      </w:tr>
      <w:tr w:rsidR="0096115C" w:rsidRPr="00294BAA" w14:paraId="5EFC0B40" w14:textId="77777777" w:rsidTr="00E62ECB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917376" w14:textId="77777777" w:rsidR="0096115C" w:rsidRPr="00294BAA" w:rsidRDefault="0096115C" w:rsidP="00873C0E">
            <w:pPr>
              <w:jc w:val="both"/>
              <w:rPr>
                <w:color w:val="000000"/>
                <w:lang w:eastAsia="de-DE"/>
              </w:rPr>
            </w:pPr>
            <w:r w:rsidRPr="00294BAA">
              <w:rPr>
                <w:lang w:val="en-US"/>
              </w:rPr>
              <w:t>Sample size (stage 1+2)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72BE3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  <w:r w:rsidRPr="00294BAA">
              <w:rPr>
                <w:lang w:val="en-GB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2BA23F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  <w:r w:rsidRPr="00294BAA">
              <w:rPr>
                <w:lang w:val="en-GB"/>
              </w:rPr>
              <w:t>12</w:t>
            </w:r>
          </w:p>
        </w:tc>
      </w:tr>
      <w:tr w:rsidR="0096115C" w:rsidRPr="00294BAA" w14:paraId="74081386" w14:textId="77777777" w:rsidTr="00E62ECB">
        <w:trPr>
          <w:jc w:val="center"/>
        </w:trPr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87138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 xml:space="preserve"> Total Mean (SD)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918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  <w:r w:rsidRPr="00294BAA">
              <w:rPr>
                <w:lang w:val="en-GB"/>
              </w:rPr>
              <w:t>76.2 (24.5)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313697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  <w:r w:rsidRPr="00294BAA">
              <w:rPr>
                <w:lang w:val="en-GB"/>
              </w:rPr>
              <w:t>51.6 (16.9)</w:t>
            </w:r>
          </w:p>
        </w:tc>
      </w:tr>
      <w:tr w:rsidR="0096115C" w:rsidRPr="00294BAA" w14:paraId="610F5351" w14:textId="77777777" w:rsidTr="00E62ECB">
        <w:trPr>
          <w:jc w:val="center"/>
        </w:trPr>
        <w:tc>
          <w:tcPr>
            <w:tcW w:w="2660" w:type="dxa"/>
            <w:tcBorders>
              <w:right w:val="single" w:sz="4" w:space="0" w:color="auto"/>
            </w:tcBorders>
          </w:tcPr>
          <w:p w14:paraId="74E1DF42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  <w:r w:rsidRPr="00294BAA">
              <w:rPr>
                <w:b/>
                <w:lang w:val="en-GB"/>
              </w:rPr>
              <w:t>Stage 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3ED041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54.0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3CC80908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44.5</w:t>
            </w:r>
          </w:p>
        </w:tc>
      </w:tr>
      <w:tr w:rsidR="0096115C" w:rsidRPr="00294BAA" w14:paraId="124B8F62" w14:textId="77777777" w:rsidTr="00E62ECB">
        <w:trPr>
          <w:jc w:val="center"/>
        </w:trPr>
        <w:tc>
          <w:tcPr>
            <w:tcW w:w="2660" w:type="dxa"/>
            <w:tcBorders>
              <w:right w:val="single" w:sz="4" w:space="0" w:color="auto"/>
            </w:tcBorders>
          </w:tcPr>
          <w:p w14:paraId="23FC3B58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7D6E8C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59.8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4D06A097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75.4</w:t>
            </w:r>
          </w:p>
        </w:tc>
      </w:tr>
      <w:tr w:rsidR="0096115C" w:rsidRPr="00294BAA" w14:paraId="71B1EF0A" w14:textId="77777777" w:rsidTr="00E62ECB">
        <w:trPr>
          <w:jc w:val="center"/>
        </w:trPr>
        <w:tc>
          <w:tcPr>
            <w:tcW w:w="2660" w:type="dxa"/>
            <w:tcBorders>
              <w:right w:val="single" w:sz="4" w:space="0" w:color="auto"/>
            </w:tcBorders>
          </w:tcPr>
          <w:p w14:paraId="77C863DC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ABF724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63.5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2935029C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35.3</w:t>
            </w:r>
          </w:p>
        </w:tc>
      </w:tr>
      <w:tr w:rsidR="0096115C" w:rsidRPr="00294BAA" w14:paraId="3046A29A" w14:textId="77777777" w:rsidTr="00E62ECB">
        <w:trPr>
          <w:jc w:val="center"/>
        </w:trPr>
        <w:tc>
          <w:tcPr>
            <w:tcW w:w="2660" w:type="dxa"/>
            <w:tcBorders>
              <w:right w:val="single" w:sz="4" w:space="0" w:color="auto"/>
            </w:tcBorders>
          </w:tcPr>
          <w:p w14:paraId="522C40B4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BB0CCA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105.3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50E65B3A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61.5</w:t>
            </w:r>
          </w:p>
        </w:tc>
      </w:tr>
      <w:tr w:rsidR="0096115C" w:rsidRPr="00294BAA" w14:paraId="7C664BB8" w14:textId="77777777" w:rsidTr="00E62ECB">
        <w:trPr>
          <w:jc w:val="center"/>
        </w:trPr>
        <w:tc>
          <w:tcPr>
            <w:tcW w:w="2660" w:type="dxa"/>
            <w:tcBorders>
              <w:right w:val="single" w:sz="4" w:space="0" w:color="auto"/>
            </w:tcBorders>
          </w:tcPr>
          <w:p w14:paraId="20D8C251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A36522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58.0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356B9CAC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49.4</w:t>
            </w:r>
          </w:p>
        </w:tc>
      </w:tr>
      <w:tr w:rsidR="0096115C" w:rsidRPr="00294BAA" w14:paraId="7BF6FC28" w14:textId="77777777" w:rsidTr="00E62ECB">
        <w:trPr>
          <w:jc w:val="center"/>
        </w:trPr>
        <w:tc>
          <w:tcPr>
            <w:tcW w:w="2660" w:type="dxa"/>
            <w:tcBorders>
              <w:right w:val="single" w:sz="4" w:space="0" w:color="auto"/>
            </w:tcBorders>
          </w:tcPr>
          <w:p w14:paraId="7B73DEDB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7397211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  <w:r w:rsidRPr="00294BAA">
              <w:rPr>
                <w:lang w:val="en-GB"/>
              </w:rPr>
              <w:t>--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61D9CF6A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85.9</w:t>
            </w:r>
          </w:p>
        </w:tc>
      </w:tr>
      <w:tr w:rsidR="0096115C" w:rsidRPr="00294BAA" w14:paraId="7A90CB58" w14:textId="77777777" w:rsidTr="00E62ECB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3484E4" w14:textId="77777777" w:rsidR="0096115C" w:rsidRPr="00294BAA" w:rsidRDefault="0096115C" w:rsidP="00873C0E">
            <w:pPr>
              <w:jc w:val="both"/>
              <w:rPr>
                <w:color w:val="000000"/>
                <w:lang w:eastAsia="de-DE"/>
              </w:rPr>
            </w:pPr>
            <w:r w:rsidRPr="00294BAA">
              <w:rPr>
                <w:lang w:val="en-US"/>
              </w:rPr>
              <w:t>Sample size (stage 1+2+3)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DAEA21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  <w:r w:rsidRPr="00294BAA">
              <w:rPr>
                <w:lang w:val="en-GB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54E2E2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18</w:t>
            </w:r>
          </w:p>
        </w:tc>
      </w:tr>
      <w:tr w:rsidR="0096115C" w:rsidRPr="00294BAA" w14:paraId="58EA76E9" w14:textId="77777777" w:rsidTr="00E62ECB">
        <w:trPr>
          <w:jc w:val="center"/>
        </w:trPr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5E79B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 xml:space="preserve">total Mean (SD)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E9DE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  <w:r w:rsidRPr="00294BAA">
              <w:rPr>
                <w:lang w:val="en-GB"/>
              </w:rPr>
              <w:t>73.7 (23.1)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72CB35" w14:textId="77777777" w:rsidR="0096115C" w:rsidRPr="00294BAA" w:rsidRDefault="0096115C" w:rsidP="00873C0E">
            <w:pPr>
              <w:jc w:val="both"/>
              <w:rPr>
                <w:color w:val="000000"/>
                <w:lang w:val="en-US" w:eastAsia="de-DE"/>
              </w:rPr>
            </w:pPr>
            <w:r w:rsidRPr="00294BAA">
              <w:rPr>
                <w:color w:val="000000"/>
                <w:lang w:val="en-US" w:eastAsia="de-DE"/>
              </w:rPr>
              <w:t>54.0 (17.5)</w:t>
            </w:r>
          </w:p>
        </w:tc>
      </w:tr>
    </w:tbl>
    <w:p w14:paraId="35E0AD80" w14:textId="77777777" w:rsidR="0096115C" w:rsidRPr="00294BAA" w:rsidRDefault="0096115C" w:rsidP="00873C0E">
      <w:pPr>
        <w:jc w:val="both"/>
        <w:rPr>
          <w:lang w:val="en-GB"/>
        </w:rPr>
      </w:pPr>
    </w:p>
    <w:p w14:paraId="076CCDB6" w14:textId="510DE12A" w:rsidR="0096115C" w:rsidRPr="00294BAA" w:rsidRDefault="0096115C" w:rsidP="00873C0E">
      <w:pPr>
        <w:pStyle w:val="ListParagraph"/>
        <w:spacing w:line="480" w:lineRule="auto"/>
        <w:ind w:left="0"/>
        <w:jc w:val="both"/>
        <w:rPr>
          <w:rFonts w:asciiTheme="minorHAnsi" w:hAnsiTheme="minorHAnsi"/>
        </w:rPr>
      </w:pPr>
      <w:r w:rsidRPr="00294BAA">
        <w:rPr>
          <w:rFonts w:asciiTheme="minorHAnsi" w:hAnsiTheme="minorHAnsi"/>
          <w:lang w:val="en-GB"/>
        </w:rPr>
        <w:t>We compare the results originally derived using a conventional frequentist block design to an analysis that could have been done if the same data came from a group sequential design (</w:t>
      </w:r>
      <w:r w:rsidR="00D03E1B">
        <w:rPr>
          <w:rFonts w:asciiTheme="minorHAnsi" w:hAnsiTheme="minorHAnsi"/>
          <w:lang w:val="en-GB"/>
        </w:rPr>
        <w:t>T</w:t>
      </w:r>
      <w:r w:rsidRPr="00294BAA">
        <w:rPr>
          <w:rFonts w:asciiTheme="minorHAnsi" w:hAnsiTheme="minorHAnsi"/>
          <w:lang w:val="en-GB"/>
        </w:rPr>
        <w:t xml:space="preserve">able </w:t>
      </w:r>
      <w:r w:rsidR="00583F40" w:rsidRPr="00294BAA">
        <w:rPr>
          <w:rFonts w:asciiTheme="minorHAnsi" w:hAnsiTheme="minorHAnsi"/>
          <w:lang w:val="en-GB"/>
        </w:rPr>
        <w:t>B</w:t>
      </w:r>
      <w:r w:rsidRPr="00294BAA">
        <w:rPr>
          <w:rFonts w:asciiTheme="minorHAnsi" w:hAnsiTheme="minorHAnsi"/>
          <w:lang w:val="en-GB"/>
        </w:rPr>
        <w:t>). In this pre</w:t>
      </w:r>
      <w:r w:rsidR="001D42FD" w:rsidRPr="00294BAA">
        <w:rPr>
          <w:rFonts w:asciiTheme="minorHAnsi" w:hAnsiTheme="minorHAnsi"/>
          <w:lang w:val="en-GB"/>
        </w:rPr>
        <w:t>-</w:t>
      </w:r>
      <w:r w:rsidRPr="00294BAA">
        <w:rPr>
          <w:rFonts w:asciiTheme="minorHAnsi" w:hAnsiTheme="minorHAnsi"/>
          <w:lang w:val="en-GB"/>
        </w:rPr>
        <w:t xml:space="preserve">clinical study, mice were treated with a putative neuroprotectant 6 hours after transient occlusion of the middle cerebral artery for 1 hour. Had a group sequential design been used (using either frequentist or Bayesian analysis methods), the study could have stopped early due to successfully </w:t>
      </w:r>
      <w:r w:rsidR="001D42FD" w:rsidRPr="00294BAA">
        <w:rPr>
          <w:rFonts w:asciiTheme="minorHAnsi" w:hAnsiTheme="minorHAnsi"/>
          <w:lang w:val="en-GB"/>
        </w:rPr>
        <w:t>demonstrating</w:t>
      </w:r>
      <w:r w:rsidRPr="00294BAA">
        <w:rPr>
          <w:rFonts w:asciiTheme="minorHAnsi" w:hAnsiTheme="minorHAnsi"/>
          <w:lang w:val="en-GB"/>
        </w:rPr>
        <w:t xml:space="preserve"> that in the intervention group infarct sizes were significantly smaller than in the control group</w:t>
      </w:r>
      <w:r w:rsidR="001D42FD" w:rsidRPr="00294BAA">
        <w:rPr>
          <w:rFonts w:asciiTheme="minorHAnsi" w:hAnsiTheme="minorHAnsi"/>
          <w:lang w:val="en-GB"/>
        </w:rPr>
        <w:t>,</w:t>
      </w:r>
      <w:r w:rsidRPr="00294BAA">
        <w:rPr>
          <w:rFonts w:asciiTheme="minorHAnsi" w:hAnsiTheme="minorHAnsi"/>
          <w:lang w:val="en-GB"/>
        </w:rPr>
        <w:t xml:space="preserve"> after using 23 instead of 34 mice.  T</w:t>
      </w:r>
      <w:r w:rsidRPr="00294BAA">
        <w:rPr>
          <w:rFonts w:asciiTheme="minorHAnsi" w:hAnsiTheme="minorHAnsi"/>
        </w:rPr>
        <w:t>he estimated difference in stroke volume would have been modestly larger in the sequential scenario (24.6 mm</w:t>
      </w:r>
      <w:r w:rsidRPr="00294BAA">
        <w:rPr>
          <w:rFonts w:asciiTheme="minorHAnsi" w:hAnsiTheme="minorHAnsi"/>
          <w:vertAlign w:val="superscript"/>
        </w:rPr>
        <w:t>3</w:t>
      </w:r>
      <w:r w:rsidRPr="00294BAA">
        <w:rPr>
          <w:rFonts w:asciiTheme="minorHAnsi" w:hAnsiTheme="minorHAnsi"/>
        </w:rPr>
        <w:t>) than in the frequentist, non-sequential trial (20.3 mm</w:t>
      </w:r>
      <w:r w:rsidRPr="00294BAA">
        <w:rPr>
          <w:rFonts w:asciiTheme="minorHAnsi" w:hAnsiTheme="minorHAnsi"/>
          <w:vertAlign w:val="superscript"/>
        </w:rPr>
        <w:t>3</w:t>
      </w:r>
      <w:r w:rsidRPr="00294BAA">
        <w:rPr>
          <w:rFonts w:asciiTheme="minorHAnsi" w:hAnsiTheme="minorHAnsi"/>
        </w:rPr>
        <w:t>).</w:t>
      </w:r>
    </w:p>
    <w:p w14:paraId="741C7A28" w14:textId="77777777" w:rsidR="0096115C" w:rsidRPr="00294BAA" w:rsidRDefault="0096115C" w:rsidP="00873C0E">
      <w:pPr>
        <w:pStyle w:val="ListParagraph"/>
        <w:ind w:left="0"/>
        <w:jc w:val="both"/>
        <w:rPr>
          <w:rFonts w:asciiTheme="minorHAnsi" w:hAnsiTheme="minorHAnsi"/>
        </w:rPr>
      </w:pPr>
    </w:p>
    <w:p w14:paraId="038755D5" w14:textId="6D086E7A" w:rsidR="0096115C" w:rsidRPr="00294BAA" w:rsidRDefault="0096115C" w:rsidP="00873C0E">
      <w:pPr>
        <w:jc w:val="both"/>
        <w:rPr>
          <w:i/>
          <w:lang w:val="en-GB"/>
        </w:rPr>
      </w:pPr>
      <w:r w:rsidRPr="00294BAA">
        <w:rPr>
          <w:b/>
          <w:i/>
          <w:lang w:val="en-GB"/>
        </w:rPr>
        <w:t xml:space="preserve">Table </w:t>
      </w:r>
      <w:r w:rsidR="00583F40" w:rsidRPr="00294BAA">
        <w:rPr>
          <w:b/>
          <w:i/>
          <w:lang w:val="en-GB"/>
        </w:rPr>
        <w:t xml:space="preserve"> B</w:t>
      </w:r>
      <w:r w:rsidRPr="00294BAA">
        <w:rPr>
          <w:b/>
          <w:i/>
          <w:lang w:val="en-GB"/>
        </w:rPr>
        <w:t>: Illustrative example of a pre</w:t>
      </w:r>
      <w:r w:rsidR="002F6E62" w:rsidRPr="00294BAA">
        <w:rPr>
          <w:b/>
          <w:i/>
          <w:lang w:val="en-GB"/>
        </w:rPr>
        <w:t>-</w:t>
      </w:r>
      <w:r w:rsidRPr="00294BAA">
        <w:rPr>
          <w:b/>
          <w:i/>
          <w:lang w:val="en-GB"/>
        </w:rPr>
        <w:t>clinical study in mice</w:t>
      </w:r>
      <w:r w:rsidRPr="00294BAA">
        <w:rPr>
          <w:i/>
          <w:lang w:val="en-GB"/>
        </w:rPr>
        <w:t>. The intervention aimed at reducing brain infarct volume after experimental middle cerebral artery occlusion. Comparison of frequentist non-sequential, frequentist sequential, and Bayesian analysis with non-informative prior (powered for effect size d= 1.0 with alpha = 0.05, power = 0.8). Significance levels for interim analyses: α</w:t>
      </w:r>
      <w:r w:rsidRPr="00294BAA">
        <w:rPr>
          <w:i/>
          <w:vertAlign w:val="subscript"/>
          <w:lang w:val="en-GB"/>
        </w:rPr>
        <w:t>1</w:t>
      </w:r>
      <w:r w:rsidRPr="00294BAA">
        <w:rPr>
          <w:i/>
          <w:lang w:val="en-GB"/>
        </w:rPr>
        <w:t>=0.0006, α</w:t>
      </w:r>
      <w:r w:rsidRPr="00294BAA">
        <w:rPr>
          <w:i/>
          <w:vertAlign w:val="subscript"/>
          <w:lang w:val="en-GB"/>
        </w:rPr>
        <w:t>2</w:t>
      </w:r>
      <w:r w:rsidRPr="00294BAA">
        <w:rPr>
          <w:i/>
          <w:lang w:val="en-GB"/>
        </w:rPr>
        <w:t xml:space="preserve">=0.0151 according to </w:t>
      </w:r>
      <w:r w:rsidRPr="00294BAA">
        <w:rPr>
          <w:i/>
          <w:lang w:val="en-GB"/>
        </w:rPr>
        <w:fldChar w:fldCharType="begin"/>
      </w:r>
      <w:r w:rsidR="00165CC1" w:rsidRPr="00294BAA">
        <w:rPr>
          <w:i/>
          <w:lang w:val="en-GB"/>
        </w:rPr>
        <w:instrText xml:space="preserve"> ADDIN EN.CITE &lt;EndNote&gt;&lt;Cite&gt;&lt;Author&gt;O&amp;apos;Brien&lt;/Author&gt;&lt;Year&gt;1979&lt;/Year&gt;&lt;RecNum&gt;34&lt;/RecNum&gt;&lt;DisplayText&gt;[7]&lt;/DisplayText&gt;&lt;record&gt;&lt;rec-number&gt;34&lt;/rec-number&gt;&lt;foreign-keys&gt;&lt;key app="EN" db-id="2sddaxeace2fs6ee552xtpr40rtd0ep9x2tt" timestamp="0"&gt;34&lt;/key&gt;&lt;/foreign-keys&gt;&lt;ref-type name="Journal Article"&gt;17&lt;/ref-type&gt;&lt;contributors&gt;&lt;authors&gt;&lt;author&gt;O&amp;apos;Brien, Peter C&lt;/author&gt;&lt;author&gt;Fleming, Thomas R&lt;/author&gt;&lt;/authors&gt;&lt;/contributors&gt;&lt;titles&gt;&lt;title&gt;A multiple testing procedure for clinical trials&lt;/title&gt;&lt;secondary-title&gt;Biometrics&lt;/secondary-title&gt;&lt;/titles&gt;&lt;periodical&gt;&lt;full-title&gt;Biometrics&lt;/full-title&gt;&lt;/periodical&gt;&lt;pages&gt;549-556&lt;/pages&gt;&lt;dates&gt;&lt;year&gt;1979&lt;/year&gt;&lt;/dates&gt;&lt;isbn&gt;0006-341X&lt;/isbn&gt;&lt;urls&gt;&lt;/urls&gt;&lt;/record&gt;&lt;/Cite&gt;&lt;/EndNote&gt;</w:instrText>
      </w:r>
      <w:r w:rsidRPr="00294BAA">
        <w:rPr>
          <w:i/>
          <w:lang w:val="en-GB"/>
        </w:rPr>
        <w:fldChar w:fldCharType="separate"/>
      </w:r>
      <w:r w:rsidR="00873C0E" w:rsidRPr="00294BAA">
        <w:rPr>
          <w:i/>
          <w:noProof/>
          <w:lang w:val="en-GB"/>
        </w:rPr>
        <w:t>[7]</w:t>
      </w:r>
      <w:r w:rsidRPr="00294BAA">
        <w:rPr>
          <w:i/>
          <w:lang w:val="en-GB"/>
        </w:rPr>
        <w:fldChar w:fldCharType="end"/>
      </w:r>
      <w:r w:rsidRPr="00294BAA">
        <w:rPr>
          <w:i/>
          <w:lang w:val="en-GB"/>
        </w:rPr>
        <w:t>. Credible intervals (CRI) for difference in means: CRI stage 1: 99.8%, stage 2+3: 96.8%. If 0 is not included in specific CRI, then study was stopped for success</w:t>
      </w:r>
      <w:r w:rsidRPr="00294BAA">
        <w:rPr>
          <w:rStyle w:val="CommentReference"/>
          <w:sz w:val="22"/>
          <w:szCs w:val="22"/>
          <w:lang w:val="en-US"/>
        </w:rPr>
        <w:t>.</w:t>
      </w:r>
      <w:r w:rsidRPr="00294BAA">
        <w:rPr>
          <w:i/>
          <w:lang w:val="en-GB"/>
        </w:rPr>
        <w:t xml:space="preserve"> Significant results are marked in bold. Note that 2 mice had to be excluded from the control (crtl) group due to death during surgery.</w:t>
      </w:r>
    </w:p>
    <w:p w14:paraId="79F4853F" w14:textId="77777777" w:rsidR="0096115C" w:rsidRPr="00294BAA" w:rsidRDefault="0096115C" w:rsidP="00873C0E">
      <w:pPr>
        <w:autoSpaceDE w:val="0"/>
        <w:autoSpaceDN w:val="0"/>
        <w:adjustRightInd w:val="0"/>
        <w:jc w:val="both"/>
        <w:rPr>
          <w:lang w:val="en-GB"/>
        </w:rPr>
      </w:pP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559"/>
        <w:gridCol w:w="2410"/>
        <w:gridCol w:w="992"/>
        <w:gridCol w:w="1121"/>
        <w:gridCol w:w="1379"/>
      </w:tblGrid>
      <w:tr w:rsidR="0096115C" w:rsidRPr="00294BAA" w14:paraId="37D0986C" w14:textId="77777777" w:rsidTr="00E62ECB">
        <w:trPr>
          <w:trHeight w:val="239"/>
          <w:jc w:val="center"/>
        </w:trPr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BCEC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671A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2138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B33D7" w14:textId="77777777" w:rsidR="0096115C" w:rsidRPr="00294BAA" w:rsidRDefault="0096115C" w:rsidP="00873C0E">
            <w:pPr>
              <w:jc w:val="both"/>
              <w:rPr>
                <w:b/>
                <w:lang w:val="en-US"/>
              </w:rPr>
            </w:pPr>
            <w:r w:rsidRPr="00294BAA">
              <w:rPr>
                <w:b/>
                <w:lang w:val="en-US"/>
              </w:rPr>
              <w:t>approach and test result</w:t>
            </w:r>
          </w:p>
        </w:tc>
      </w:tr>
      <w:tr w:rsidR="0096115C" w:rsidRPr="000F3190" w14:paraId="21A27609" w14:textId="77777777" w:rsidTr="00E62ECB">
        <w:trPr>
          <w:trHeight w:val="239"/>
          <w:jc w:val="center"/>
        </w:trPr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2E7D" w14:textId="77777777" w:rsidR="0096115C" w:rsidRPr="00294BAA" w:rsidRDefault="0096115C" w:rsidP="00873C0E">
            <w:pPr>
              <w:jc w:val="both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67A5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  <w:r w:rsidRPr="00294BAA">
              <w:rPr>
                <w:lang w:val="en-US"/>
              </w:rPr>
              <w:t xml:space="preserve">Sample size </w:t>
            </w:r>
          </w:p>
          <w:p w14:paraId="351D16E9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  <w:r w:rsidRPr="00294BAA">
              <w:rPr>
                <w:lang w:val="en-US"/>
              </w:rPr>
              <w:t>(ctrl vs. intervention)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6C3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  <w:r w:rsidRPr="00294BAA">
              <w:rPr>
                <w:lang w:val="en-US"/>
              </w:rPr>
              <w:t xml:space="preserve">Mean (SD) stroke volume </w:t>
            </w:r>
          </w:p>
          <w:p w14:paraId="257E5092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  <w:r w:rsidRPr="00294BAA">
              <w:rPr>
                <w:lang w:val="en-US"/>
              </w:rPr>
              <w:t>for control / intervention [mm</w:t>
            </w:r>
            <w:r w:rsidRPr="00294BAA">
              <w:rPr>
                <w:vertAlign w:val="superscript"/>
                <w:lang w:val="en-US"/>
              </w:rPr>
              <w:t>3</w:t>
            </w:r>
            <w:r w:rsidRPr="00294BAA">
              <w:rPr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5C0AF" w14:textId="77777777" w:rsidR="0096115C" w:rsidRPr="00294BAA" w:rsidRDefault="0096115C" w:rsidP="00873C0E">
            <w:pPr>
              <w:jc w:val="both"/>
              <w:rPr>
                <w:b/>
                <w:lang w:val="en-US"/>
              </w:rPr>
            </w:pPr>
            <w:r w:rsidRPr="00294BAA">
              <w:rPr>
                <w:b/>
                <w:lang w:val="en-US"/>
              </w:rPr>
              <w:t>Freq.</w:t>
            </w:r>
          </w:p>
          <w:p w14:paraId="7E1DFCFF" w14:textId="77777777" w:rsidR="0096115C" w:rsidRPr="00294BAA" w:rsidRDefault="0096115C" w:rsidP="00873C0E">
            <w:pPr>
              <w:jc w:val="both"/>
              <w:rPr>
                <w:b/>
                <w:lang w:val="en-US"/>
              </w:rPr>
            </w:pPr>
            <w:r w:rsidRPr="00294BAA">
              <w:rPr>
                <w:b/>
                <w:lang w:val="en-US"/>
              </w:rPr>
              <w:t>non-seq.</w:t>
            </w:r>
          </w:p>
          <w:p w14:paraId="5F7FB38D" w14:textId="77777777" w:rsidR="0096115C" w:rsidRPr="00294BAA" w:rsidRDefault="0096115C" w:rsidP="00873C0E">
            <w:pPr>
              <w:jc w:val="both"/>
              <w:rPr>
                <w:b/>
                <w:lang w:val="en-US"/>
              </w:rPr>
            </w:pPr>
            <w:r w:rsidRPr="00294BAA">
              <w:rPr>
                <w:lang w:val="en-US"/>
              </w:rPr>
              <w:t>p-value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81E3C" w14:textId="77777777" w:rsidR="0096115C" w:rsidRPr="00294BAA" w:rsidRDefault="0096115C" w:rsidP="00873C0E">
            <w:pPr>
              <w:jc w:val="both"/>
              <w:rPr>
                <w:b/>
                <w:lang w:val="en-US"/>
              </w:rPr>
            </w:pPr>
            <w:r w:rsidRPr="00294BAA">
              <w:rPr>
                <w:b/>
                <w:lang w:val="en-US"/>
              </w:rPr>
              <w:t>Freq.</w:t>
            </w:r>
          </w:p>
          <w:p w14:paraId="554CC0DB" w14:textId="77777777" w:rsidR="0096115C" w:rsidRPr="00294BAA" w:rsidRDefault="0096115C" w:rsidP="00873C0E">
            <w:pPr>
              <w:jc w:val="both"/>
              <w:rPr>
                <w:b/>
                <w:lang w:val="en-US"/>
              </w:rPr>
            </w:pPr>
            <w:r w:rsidRPr="00294BAA">
              <w:rPr>
                <w:b/>
                <w:lang w:val="en-US"/>
              </w:rPr>
              <w:t>seq.</w:t>
            </w:r>
          </w:p>
          <w:p w14:paraId="7C8F8253" w14:textId="77777777" w:rsidR="0096115C" w:rsidRPr="00294BAA" w:rsidRDefault="0096115C" w:rsidP="00873C0E">
            <w:pPr>
              <w:jc w:val="both"/>
              <w:rPr>
                <w:b/>
                <w:lang w:val="en-US"/>
              </w:rPr>
            </w:pPr>
            <w:r w:rsidRPr="00294BAA">
              <w:rPr>
                <w:lang w:val="en-US"/>
              </w:rPr>
              <w:t>p-value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879228" w14:textId="77777777" w:rsidR="0096115C" w:rsidRPr="00294BAA" w:rsidRDefault="0096115C" w:rsidP="00873C0E">
            <w:pPr>
              <w:jc w:val="both"/>
              <w:rPr>
                <w:b/>
                <w:lang w:val="en-US"/>
              </w:rPr>
            </w:pPr>
            <w:r w:rsidRPr="00294BAA">
              <w:rPr>
                <w:b/>
                <w:lang w:val="en-US"/>
              </w:rPr>
              <w:t>Bayes with</w:t>
            </w:r>
          </w:p>
          <w:p w14:paraId="73FEC080" w14:textId="77777777" w:rsidR="0096115C" w:rsidRPr="00294BAA" w:rsidRDefault="0096115C" w:rsidP="00873C0E">
            <w:pPr>
              <w:jc w:val="both"/>
              <w:rPr>
                <w:b/>
                <w:lang w:val="en-US"/>
              </w:rPr>
            </w:pPr>
            <w:r w:rsidRPr="00294BAA">
              <w:rPr>
                <w:b/>
                <w:lang w:val="en-US"/>
              </w:rPr>
              <w:t>non-inf. Prior</w:t>
            </w:r>
          </w:p>
          <w:p w14:paraId="0F2BE2A4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  <w:r w:rsidRPr="00294BAA">
              <w:rPr>
                <w:lang w:val="en-US"/>
              </w:rPr>
              <w:t>CRI</w:t>
            </w:r>
          </w:p>
        </w:tc>
      </w:tr>
      <w:tr w:rsidR="0096115C" w:rsidRPr="000F3190" w14:paraId="6C6FE840" w14:textId="77777777" w:rsidTr="00E62ECB">
        <w:trPr>
          <w:trHeight w:val="239"/>
          <w:jc w:val="center"/>
        </w:trPr>
        <w:tc>
          <w:tcPr>
            <w:tcW w:w="89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97038B" w14:textId="77777777" w:rsidR="0096115C" w:rsidRPr="00294BAA" w:rsidRDefault="0096115C" w:rsidP="00873C0E">
            <w:pPr>
              <w:jc w:val="both"/>
              <w:rPr>
                <w:b/>
                <w:lang w:val="en-US"/>
              </w:rPr>
            </w:pPr>
          </w:p>
        </w:tc>
      </w:tr>
      <w:tr w:rsidR="0096115C" w:rsidRPr="00294BAA" w14:paraId="12FB2A61" w14:textId="77777777" w:rsidTr="00E62ECB">
        <w:trPr>
          <w:jc w:val="center"/>
        </w:trPr>
        <w:tc>
          <w:tcPr>
            <w:tcW w:w="15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2DC9BA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  <w:r w:rsidRPr="00294BAA">
              <w:rPr>
                <w:b/>
                <w:lang w:val="en-US"/>
              </w:rPr>
              <w:t>Stage 1</w:t>
            </w:r>
            <w:r w:rsidRPr="00294BAA">
              <w:rPr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A09C65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  <w:r w:rsidRPr="00294BAA">
              <w:rPr>
                <w:lang w:val="en-US"/>
              </w:rPr>
              <w:t>11 (5 vs. 6 )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9C8E87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  <w:r w:rsidRPr="00294BAA">
              <w:rPr>
                <w:lang w:val="en-US"/>
              </w:rPr>
              <w:t xml:space="preserve">69.0 (13.8) / </w:t>
            </w:r>
          </w:p>
          <w:p w14:paraId="0814C7F5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  <w:r w:rsidRPr="00294BAA">
              <w:rPr>
                <w:lang w:val="en-US"/>
              </w:rPr>
              <w:t>52.0 (11.1)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47BF99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  <w:r w:rsidRPr="00294BAA">
              <w:rPr>
                <w:lang w:val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B8E0FE5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  <w:r w:rsidRPr="00294BAA">
              <w:rPr>
                <w:lang w:val="en-US"/>
              </w:rPr>
              <w:t>0.049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14:paraId="1404B0B1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  <w:r w:rsidRPr="00294BAA">
              <w:rPr>
                <w:lang w:val="en-US"/>
              </w:rPr>
              <w:t>(-47.9, 11.2)</w:t>
            </w:r>
          </w:p>
        </w:tc>
      </w:tr>
      <w:tr w:rsidR="0096115C" w:rsidRPr="00294BAA" w14:paraId="2B5620F6" w14:textId="77777777" w:rsidTr="00E62ECB">
        <w:trPr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489587EE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  <w:r w:rsidRPr="00294BAA">
              <w:rPr>
                <w:b/>
                <w:lang w:val="en-US"/>
              </w:rPr>
              <w:t>Stage 1+2</w:t>
            </w:r>
            <w:r w:rsidRPr="00294BAA">
              <w:rPr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2B8C943F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  <w:r w:rsidRPr="00294BAA">
              <w:rPr>
                <w:lang w:val="en-US"/>
              </w:rPr>
              <w:t>23 (11 vs. 12)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20061C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  <w:r w:rsidRPr="00294BAA">
              <w:rPr>
                <w:lang w:val="en-US"/>
              </w:rPr>
              <w:t xml:space="preserve">76.2 (24.5) / </w:t>
            </w:r>
          </w:p>
          <w:p w14:paraId="2697361E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  <w:r w:rsidRPr="00294BAA">
              <w:rPr>
                <w:lang w:val="en-US"/>
              </w:rPr>
              <w:t>51.6 (16.9)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03DD7D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  <w:r w:rsidRPr="00294BAA">
              <w:rPr>
                <w:lang w:val="en-US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4CDEA" w14:textId="77777777" w:rsidR="0096115C" w:rsidRPr="00294BAA" w:rsidRDefault="0096115C" w:rsidP="00873C0E">
            <w:pPr>
              <w:jc w:val="both"/>
              <w:rPr>
                <w:b/>
                <w:lang w:val="en-US"/>
              </w:rPr>
            </w:pPr>
            <w:r w:rsidRPr="00294BAA">
              <w:rPr>
                <w:b/>
                <w:lang w:val="en-US"/>
              </w:rPr>
              <w:t>0.010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56C6B1E" w14:textId="77777777" w:rsidR="0096115C" w:rsidRPr="00294BAA" w:rsidRDefault="0096115C" w:rsidP="00873C0E">
            <w:pPr>
              <w:jc w:val="both"/>
              <w:rPr>
                <w:b/>
                <w:lang w:val="en-US"/>
              </w:rPr>
            </w:pPr>
            <w:r w:rsidRPr="00294BAA">
              <w:rPr>
                <w:lang w:val="en-US"/>
              </w:rPr>
              <w:t xml:space="preserve"> </w:t>
            </w:r>
            <w:r w:rsidRPr="00294BAA">
              <w:rPr>
                <w:b/>
                <w:lang w:val="en-US"/>
              </w:rPr>
              <w:t>(-44.0,-4.6)</w:t>
            </w:r>
          </w:p>
        </w:tc>
      </w:tr>
      <w:tr w:rsidR="0096115C" w:rsidRPr="00294BAA" w14:paraId="46FBB7F3" w14:textId="77777777" w:rsidTr="00E62ECB">
        <w:trPr>
          <w:jc w:val="center"/>
        </w:trPr>
        <w:tc>
          <w:tcPr>
            <w:tcW w:w="15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B46A6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  <w:r w:rsidRPr="00294BAA">
              <w:rPr>
                <w:b/>
                <w:lang w:val="en-US"/>
              </w:rPr>
              <w:t>Stage 1+2+3</w:t>
            </w:r>
            <w:r w:rsidRPr="00294BAA">
              <w:rPr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21A81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  <w:r w:rsidRPr="00294BAA">
              <w:rPr>
                <w:lang w:val="en-US"/>
              </w:rPr>
              <w:t>34 (16 vs. 18)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FBCA6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  <w:r w:rsidRPr="00294BAA">
              <w:rPr>
                <w:lang w:val="en-US"/>
              </w:rPr>
              <w:t xml:space="preserve">73.7 (23.1) / </w:t>
            </w:r>
          </w:p>
          <w:p w14:paraId="61451AD2" w14:textId="77777777" w:rsidR="0096115C" w:rsidRPr="00294BAA" w:rsidRDefault="0096115C" w:rsidP="00873C0E">
            <w:pPr>
              <w:jc w:val="both"/>
              <w:rPr>
                <w:lang w:val="en-US"/>
              </w:rPr>
            </w:pPr>
            <w:r w:rsidRPr="00294BAA">
              <w:rPr>
                <w:lang w:val="en-US"/>
              </w:rPr>
              <w:t>54.0 (17.5)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22E77F" w14:textId="77777777" w:rsidR="0096115C" w:rsidRPr="00294BAA" w:rsidRDefault="0096115C" w:rsidP="00873C0E">
            <w:pPr>
              <w:jc w:val="both"/>
              <w:rPr>
                <w:b/>
                <w:lang w:val="en-US"/>
              </w:rPr>
            </w:pPr>
            <w:r w:rsidRPr="00294BAA">
              <w:rPr>
                <w:b/>
                <w:lang w:val="en-US"/>
              </w:rPr>
              <w:t>0.008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D17BA9E" w14:textId="77777777" w:rsidR="0096115C" w:rsidRPr="00294BAA" w:rsidRDefault="0096115C" w:rsidP="00873C0E">
            <w:pPr>
              <w:jc w:val="both"/>
              <w:rPr>
                <w:b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725F242D" w14:textId="77777777" w:rsidR="0096115C" w:rsidRPr="00294BAA" w:rsidRDefault="0096115C" w:rsidP="00873C0E">
            <w:pPr>
              <w:jc w:val="both"/>
              <w:rPr>
                <w:b/>
                <w:lang w:val="en-US"/>
              </w:rPr>
            </w:pPr>
          </w:p>
        </w:tc>
      </w:tr>
    </w:tbl>
    <w:p w14:paraId="41CCCACE" w14:textId="77777777" w:rsidR="0096115C" w:rsidRPr="00294BAA" w:rsidRDefault="0096115C" w:rsidP="00873C0E">
      <w:pPr>
        <w:autoSpaceDE w:val="0"/>
        <w:autoSpaceDN w:val="0"/>
        <w:adjustRightInd w:val="0"/>
        <w:jc w:val="both"/>
        <w:rPr>
          <w:lang w:val="en-GB"/>
        </w:rPr>
      </w:pPr>
    </w:p>
    <w:p w14:paraId="688D1F65" w14:textId="77777777" w:rsidR="0096115C" w:rsidRPr="00294BAA" w:rsidRDefault="0096115C" w:rsidP="00873C0E">
      <w:pPr>
        <w:jc w:val="both"/>
        <w:rPr>
          <w:b/>
          <w:lang w:val="en-GB"/>
        </w:rPr>
      </w:pPr>
    </w:p>
    <w:p w14:paraId="25751A6D" w14:textId="0B562EA5" w:rsidR="00D151FC" w:rsidRPr="00D03E1B" w:rsidRDefault="00873C0E" w:rsidP="00D03E1B">
      <w:pPr>
        <w:jc w:val="both"/>
        <w:rPr>
          <w:lang w:val="en-GB"/>
        </w:rPr>
      </w:pPr>
      <w:r w:rsidRPr="00294BAA">
        <w:rPr>
          <w:b/>
          <w:lang w:val="en-GB"/>
        </w:rPr>
        <w:t>References</w:t>
      </w:r>
      <w:r w:rsidR="00FB7D04" w:rsidRPr="00294BAA">
        <w:rPr>
          <w:b/>
          <w:lang w:val="en-GB"/>
        </w:rPr>
        <w:t xml:space="preserve"> </w:t>
      </w:r>
      <w:r w:rsidRPr="00294BAA">
        <w:rPr>
          <w:noProof/>
          <w:lang w:val="en-GB"/>
        </w:rPr>
        <w:fldChar w:fldCharType="begin"/>
      </w:r>
      <w:r w:rsidRPr="00294BAA">
        <w:rPr>
          <w:lang w:val="en-GB"/>
        </w:rPr>
        <w:instrText xml:space="preserve"> ADDIN EN.REFLIST </w:instrText>
      </w:r>
      <w:r w:rsidRPr="00294BAA">
        <w:rPr>
          <w:noProof/>
          <w:lang w:val="en-GB"/>
        </w:rPr>
        <w:fldChar w:fldCharType="separate"/>
      </w:r>
    </w:p>
    <w:p w14:paraId="525DA864" w14:textId="77777777" w:rsidR="00F933E4" w:rsidRDefault="00F933E4" w:rsidP="003C6F9B">
      <w:pPr>
        <w:pStyle w:val="EndNoteBibliography"/>
      </w:pPr>
    </w:p>
    <w:p w14:paraId="07AC7F3C" w14:textId="77777777" w:rsidR="00F933E4" w:rsidRPr="00294BAA" w:rsidRDefault="00F933E4" w:rsidP="00F933E4">
      <w:pPr>
        <w:pStyle w:val="EndNoteBibliography"/>
      </w:pPr>
      <w:r>
        <w:t xml:space="preserve">1. </w:t>
      </w:r>
      <w:r w:rsidRPr="00294BAA">
        <w:t>Engel O, Kolodziej S, Dirnagl U, Prinz V. Modeling stroke in mice-middle cerebral artery occlusion with the filament model. J Vis Exp. 2011;47:2423.</w:t>
      </w:r>
    </w:p>
    <w:p w14:paraId="6E11EC40" w14:textId="40A150FB" w:rsidR="00F933E4" w:rsidRPr="00294BAA" w:rsidRDefault="00F933E4" w:rsidP="003C6F9B">
      <w:pPr>
        <w:pStyle w:val="EndNoteBibliography"/>
      </w:pPr>
    </w:p>
    <w:p w14:paraId="3333850F" w14:textId="7D0D670D" w:rsidR="0096115C" w:rsidRPr="00DA621E" w:rsidRDefault="00873C0E" w:rsidP="00873C0E">
      <w:pPr>
        <w:jc w:val="both"/>
        <w:rPr>
          <w:lang w:val="en-GB"/>
        </w:rPr>
      </w:pPr>
      <w:r w:rsidRPr="00294BAA">
        <w:rPr>
          <w:lang w:val="en-GB"/>
        </w:rPr>
        <w:fldChar w:fldCharType="end"/>
      </w:r>
    </w:p>
    <w:sectPr w:rsidR="0096115C" w:rsidRPr="00DA621E" w:rsidSect="00114C5B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56A23" w14:textId="77777777" w:rsidR="00AD658D" w:rsidRDefault="00AD658D" w:rsidP="005804D9">
      <w:pPr>
        <w:spacing w:after="0" w:line="240" w:lineRule="auto"/>
      </w:pPr>
      <w:r>
        <w:separator/>
      </w:r>
    </w:p>
  </w:endnote>
  <w:endnote w:type="continuationSeparator" w:id="0">
    <w:p w14:paraId="58092848" w14:textId="77777777" w:rsidR="00AD658D" w:rsidRDefault="00AD658D" w:rsidP="0058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464942"/>
      <w:docPartObj>
        <w:docPartGallery w:val="Page Numbers (Bottom of Page)"/>
        <w:docPartUnique/>
      </w:docPartObj>
    </w:sdtPr>
    <w:sdtEndPr/>
    <w:sdtContent>
      <w:p w14:paraId="7E37FDED" w14:textId="14FAED15" w:rsidR="005804D9" w:rsidRDefault="005804D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E1B">
          <w:rPr>
            <w:noProof/>
          </w:rPr>
          <w:t>3</w:t>
        </w:r>
        <w:r>
          <w:fldChar w:fldCharType="end"/>
        </w:r>
      </w:p>
    </w:sdtContent>
  </w:sdt>
  <w:p w14:paraId="761409C0" w14:textId="77777777" w:rsidR="005804D9" w:rsidRDefault="00580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E096C" w14:textId="77777777" w:rsidR="00AD658D" w:rsidRDefault="00AD658D" w:rsidP="005804D9">
      <w:pPr>
        <w:spacing w:after="0" w:line="240" w:lineRule="auto"/>
      </w:pPr>
      <w:r>
        <w:separator/>
      </w:r>
    </w:p>
  </w:footnote>
  <w:footnote w:type="continuationSeparator" w:id="0">
    <w:p w14:paraId="3E18B4E1" w14:textId="77777777" w:rsidR="00AD658D" w:rsidRDefault="00AD658D" w:rsidP="00580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sddaxeace2fs6ee552xtpr40rtd0ep9x2tt&quot;&gt;bayes Copy&lt;record-ids&gt;&lt;item&gt;9&lt;/item&gt;&lt;item&gt;34&lt;/item&gt;&lt;item&gt;57&lt;/item&gt;&lt;item&gt;58&lt;/item&gt;&lt;item&gt;59&lt;/item&gt;&lt;item&gt;60&lt;/item&gt;&lt;item&gt;61&lt;/item&gt;&lt;item&gt;73&lt;/item&gt;&lt;item&gt;75&lt;/item&gt;&lt;item&gt;99&lt;/item&gt;&lt;/record-ids&gt;&lt;/item&gt;&lt;/Libraries&gt;"/>
  </w:docVars>
  <w:rsids>
    <w:rsidRoot w:val="0035701D"/>
    <w:rsid w:val="00000469"/>
    <w:rsid w:val="000015FD"/>
    <w:rsid w:val="00001F12"/>
    <w:rsid w:val="000023C2"/>
    <w:rsid w:val="00002BD3"/>
    <w:rsid w:val="00003DB4"/>
    <w:rsid w:val="00004EE8"/>
    <w:rsid w:val="00005D16"/>
    <w:rsid w:val="00005DC5"/>
    <w:rsid w:val="00007055"/>
    <w:rsid w:val="00007487"/>
    <w:rsid w:val="000101AD"/>
    <w:rsid w:val="00010257"/>
    <w:rsid w:val="00010DD2"/>
    <w:rsid w:val="0001179B"/>
    <w:rsid w:val="00013899"/>
    <w:rsid w:val="000139B9"/>
    <w:rsid w:val="000153C6"/>
    <w:rsid w:val="000159A2"/>
    <w:rsid w:val="000203B4"/>
    <w:rsid w:val="00020E8C"/>
    <w:rsid w:val="0002183F"/>
    <w:rsid w:val="000224AD"/>
    <w:rsid w:val="0002349E"/>
    <w:rsid w:val="00024195"/>
    <w:rsid w:val="000264E4"/>
    <w:rsid w:val="000268AC"/>
    <w:rsid w:val="00026DE6"/>
    <w:rsid w:val="00026F5D"/>
    <w:rsid w:val="0003111C"/>
    <w:rsid w:val="00031278"/>
    <w:rsid w:val="0003146B"/>
    <w:rsid w:val="00031C3D"/>
    <w:rsid w:val="00032B54"/>
    <w:rsid w:val="00033787"/>
    <w:rsid w:val="00033997"/>
    <w:rsid w:val="00033ED9"/>
    <w:rsid w:val="00035564"/>
    <w:rsid w:val="00035653"/>
    <w:rsid w:val="00035E52"/>
    <w:rsid w:val="00037872"/>
    <w:rsid w:val="00037B4C"/>
    <w:rsid w:val="00037C53"/>
    <w:rsid w:val="00040375"/>
    <w:rsid w:val="000413E7"/>
    <w:rsid w:val="0004321C"/>
    <w:rsid w:val="000444C5"/>
    <w:rsid w:val="00044616"/>
    <w:rsid w:val="00044CAD"/>
    <w:rsid w:val="00044D28"/>
    <w:rsid w:val="00046347"/>
    <w:rsid w:val="00047040"/>
    <w:rsid w:val="00047071"/>
    <w:rsid w:val="00050515"/>
    <w:rsid w:val="000511BA"/>
    <w:rsid w:val="00051284"/>
    <w:rsid w:val="00051FE1"/>
    <w:rsid w:val="00052EFC"/>
    <w:rsid w:val="000558CE"/>
    <w:rsid w:val="00055937"/>
    <w:rsid w:val="00056700"/>
    <w:rsid w:val="00060B96"/>
    <w:rsid w:val="00060BD1"/>
    <w:rsid w:val="00061178"/>
    <w:rsid w:val="0006176F"/>
    <w:rsid w:val="00061944"/>
    <w:rsid w:val="00062045"/>
    <w:rsid w:val="0006225B"/>
    <w:rsid w:val="00062B12"/>
    <w:rsid w:val="00062BEF"/>
    <w:rsid w:val="000635AA"/>
    <w:rsid w:val="00065F4F"/>
    <w:rsid w:val="000670F8"/>
    <w:rsid w:val="00067465"/>
    <w:rsid w:val="0007110F"/>
    <w:rsid w:val="00071F52"/>
    <w:rsid w:val="000722AC"/>
    <w:rsid w:val="00072D8B"/>
    <w:rsid w:val="00073CD6"/>
    <w:rsid w:val="00073D6E"/>
    <w:rsid w:val="0007563E"/>
    <w:rsid w:val="000756FA"/>
    <w:rsid w:val="00075FA8"/>
    <w:rsid w:val="00076BF2"/>
    <w:rsid w:val="00077E84"/>
    <w:rsid w:val="0008017B"/>
    <w:rsid w:val="00081C49"/>
    <w:rsid w:val="00082886"/>
    <w:rsid w:val="00083014"/>
    <w:rsid w:val="00083E07"/>
    <w:rsid w:val="000844EA"/>
    <w:rsid w:val="00084F16"/>
    <w:rsid w:val="000856F0"/>
    <w:rsid w:val="00086036"/>
    <w:rsid w:val="00086910"/>
    <w:rsid w:val="00086C60"/>
    <w:rsid w:val="00087A78"/>
    <w:rsid w:val="00087D31"/>
    <w:rsid w:val="00090CCD"/>
    <w:rsid w:val="00091124"/>
    <w:rsid w:val="000946D2"/>
    <w:rsid w:val="00094726"/>
    <w:rsid w:val="00094F21"/>
    <w:rsid w:val="00095074"/>
    <w:rsid w:val="000953B8"/>
    <w:rsid w:val="00096428"/>
    <w:rsid w:val="0009663D"/>
    <w:rsid w:val="000967F1"/>
    <w:rsid w:val="000972A1"/>
    <w:rsid w:val="00097A4C"/>
    <w:rsid w:val="000A1C4D"/>
    <w:rsid w:val="000A3DC2"/>
    <w:rsid w:val="000A4C2E"/>
    <w:rsid w:val="000A5374"/>
    <w:rsid w:val="000B0580"/>
    <w:rsid w:val="000B062F"/>
    <w:rsid w:val="000B0C88"/>
    <w:rsid w:val="000B25B5"/>
    <w:rsid w:val="000B3C78"/>
    <w:rsid w:val="000B55C3"/>
    <w:rsid w:val="000B7005"/>
    <w:rsid w:val="000B750F"/>
    <w:rsid w:val="000B7E80"/>
    <w:rsid w:val="000C0002"/>
    <w:rsid w:val="000C0444"/>
    <w:rsid w:val="000C06D8"/>
    <w:rsid w:val="000C0942"/>
    <w:rsid w:val="000C15CF"/>
    <w:rsid w:val="000C1726"/>
    <w:rsid w:val="000C176B"/>
    <w:rsid w:val="000C1DFE"/>
    <w:rsid w:val="000C2D2D"/>
    <w:rsid w:val="000C4C70"/>
    <w:rsid w:val="000C5D43"/>
    <w:rsid w:val="000C6DC0"/>
    <w:rsid w:val="000C7225"/>
    <w:rsid w:val="000D06B9"/>
    <w:rsid w:val="000D08DB"/>
    <w:rsid w:val="000D0BBF"/>
    <w:rsid w:val="000D32E1"/>
    <w:rsid w:val="000D3B42"/>
    <w:rsid w:val="000D4B87"/>
    <w:rsid w:val="000D71E2"/>
    <w:rsid w:val="000E1069"/>
    <w:rsid w:val="000E2C09"/>
    <w:rsid w:val="000E59CC"/>
    <w:rsid w:val="000E6ED7"/>
    <w:rsid w:val="000E72FC"/>
    <w:rsid w:val="000E7625"/>
    <w:rsid w:val="000F2264"/>
    <w:rsid w:val="000F2814"/>
    <w:rsid w:val="000F3190"/>
    <w:rsid w:val="000F4579"/>
    <w:rsid w:val="000F6C5E"/>
    <w:rsid w:val="00100198"/>
    <w:rsid w:val="0010072D"/>
    <w:rsid w:val="00100943"/>
    <w:rsid w:val="00100CFC"/>
    <w:rsid w:val="0010278C"/>
    <w:rsid w:val="0010367D"/>
    <w:rsid w:val="00105997"/>
    <w:rsid w:val="00105E61"/>
    <w:rsid w:val="00106048"/>
    <w:rsid w:val="00106068"/>
    <w:rsid w:val="00106782"/>
    <w:rsid w:val="00106FFE"/>
    <w:rsid w:val="001072EF"/>
    <w:rsid w:val="001075E3"/>
    <w:rsid w:val="00110422"/>
    <w:rsid w:val="00114060"/>
    <w:rsid w:val="00114C5B"/>
    <w:rsid w:val="0011699A"/>
    <w:rsid w:val="001170C3"/>
    <w:rsid w:val="00117CBF"/>
    <w:rsid w:val="001212A5"/>
    <w:rsid w:val="001233DE"/>
    <w:rsid w:val="00124AE1"/>
    <w:rsid w:val="00124C19"/>
    <w:rsid w:val="00125058"/>
    <w:rsid w:val="00125A10"/>
    <w:rsid w:val="001262F7"/>
    <w:rsid w:val="001272A6"/>
    <w:rsid w:val="00127C50"/>
    <w:rsid w:val="001305F9"/>
    <w:rsid w:val="0013116D"/>
    <w:rsid w:val="0013222E"/>
    <w:rsid w:val="00132C21"/>
    <w:rsid w:val="00134BC3"/>
    <w:rsid w:val="00134DE9"/>
    <w:rsid w:val="001353BA"/>
    <w:rsid w:val="00135788"/>
    <w:rsid w:val="00135EAB"/>
    <w:rsid w:val="0013672C"/>
    <w:rsid w:val="00137878"/>
    <w:rsid w:val="00140391"/>
    <w:rsid w:val="00140F65"/>
    <w:rsid w:val="00141A78"/>
    <w:rsid w:val="001424F9"/>
    <w:rsid w:val="0014418E"/>
    <w:rsid w:val="00144F5D"/>
    <w:rsid w:val="00145079"/>
    <w:rsid w:val="00146089"/>
    <w:rsid w:val="001461BB"/>
    <w:rsid w:val="0014626F"/>
    <w:rsid w:val="00146829"/>
    <w:rsid w:val="00146B93"/>
    <w:rsid w:val="00147706"/>
    <w:rsid w:val="00147C67"/>
    <w:rsid w:val="00147C72"/>
    <w:rsid w:val="00150071"/>
    <w:rsid w:val="00150450"/>
    <w:rsid w:val="00150484"/>
    <w:rsid w:val="00150EA1"/>
    <w:rsid w:val="001510D0"/>
    <w:rsid w:val="00151138"/>
    <w:rsid w:val="001514D8"/>
    <w:rsid w:val="00151FAA"/>
    <w:rsid w:val="00153A66"/>
    <w:rsid w:val="00153DD4"/>
    <w:rsid w:val="00156313"/>
    <w:rsid w:val="00156A12"/>
    <w:rsid w:val="001571FA"/>
    <w:rsid w:val="0016041B"/>
    <w:rsid w:val="00161503"/>
    <w:rsid w:val="00162969"/>
    <w:rsid w:val="00162A0F"/>
    <w:rsid w:val="00162DCB"/>
    <w:rsid w:val="00163136"/>
    <w:rsid w:val="00163E50"/>
    <w:rsid w:val="00164EAE"/>
    <w:rsid w:val="00165CC1"/>
    <w:rsid w:val="001669E5"/>
    <w:rsid w:val="00167423"/>
    <w:rsid w:val="00167B79"/>
    <w:rsid w:val="0017050C"/>
    <w:rsid w:val="00172674"/>
    <w:rsid w:val="00172885"/>
    <w:rsid w:val="00172C37"/>
    <w:rsid w:val="00173C3C"/>
    <w:rsid w:val="0017406C"/>
    <w:rsid w:val="00174175"/>
    <w:rsid w:val="00174FFB"/>
    <w:rsid w:val="00175ADB"/>
    <w:rsid w:val="00175EA2"/>
    <w:rsid w:val="0017637C"/>
    <w:rsid w:val="00177354"/>
    <w:rsid w:val="00181CFB"/>
    <w:rsid w:val="00182643"/>
    <w:rsid w:val="00182CB8"/>
    <w:rsid w:val="00184B9A"/>
    <w:rsid w:val="00184E5C"/>
    <w:rsid w:val="00185C55"/>
    <w:rsid w:val="0018775C"/>
    <w:rsid w:val="00187A75"/>
    <w:rsid w:val="00190F2A"/>
    <w:rsid w:val="001918E2"/>
    <w:rsid w:val="001920AA"/>
    <w:rsid w:val="00193F03"/>
    <w:rsid w:val="00195DB7"/>
    <w:rsid w:val="00196DAD"/>
    <w:rsid w:val="001A0723"/>
    <w:rsid w:val="001A180A"/>
    <w:rsid w:val="001A2987"/>
    <w:rsid w:val="001A3270"/>
    <w:rsid w:val="001A49BD"/>
    <w:rsid w:val="001A4F14"/>
    <w:rsid w:val="001A51FA"/>
    <w:rsid w:val="001A5A6D"/>
    <w:rsid w:val="001A7634"/>
    <w:rsid w:val="001B05C8"/>
    <w:rsid w:val="001B091C"/>
    <w:rsid w:val="001B1691"/>
    <w:rsid w:val="001B44D3"/>
    <w:rsid w:val="001B5E17"/>
    <w:rsid w:val="001B5F2F"/>
    <w:rsid w:val="001B67BC"/>
    <w:rsid w:val="001B700A"/>
    <w:rsid w:val="001B7661"/>
    <w:rsid w:val="001B7CCC"/>
    <w:rsid w:val="001B7E25"/>
    <w:rsid w:val="001C21E8"/>
    <w:rsid w:val="001C23A4"/>
    <w:rsid w:val="001C28A3"/>
    <w:rsid w:val="001C3479"/>
    <w:rsid w:val="001C3BBD"/>
    <w:rsid w:val="001C455D"/>
    <w:rsid w:val="001C47D4"/>
    <w:rsid w:val="001C48A4"/>
    <w:rsid w:val="001C5377"/>
    <w:rsid w:val="001C5846"/>
    <w:rsid w:val="001C5D0C"/>
    <w:rsid w:val="001C7164"/>
    <w:rsid w:val="001D08F3"/>
    <w:rsid w:val="001D09A4"/>
    <w:rsid w:val="001D276A"/>
    <w:rsid w:val="001D2D1A"/>
    <w:rsid w:val="001D32CB"/>
    <w:rsid w:val="001D3924"/>
    <w:rsid w:val="001D393D"/>
    <w:rsid w:val="001D42FD"/>
    <w:rsid w:val="001D52B1"/>
    <w:rsid w:val="001D57D2"/>
    <w:rsid w:val="001D6160"/>
    <w:rsid w:val="001D6453"/>
    <w:rsid w:val="001D6898"/>
    <w:rsid w:val="001D75B8"/>
    <w:rsid w:val="001D7691"/>
    <w:rsid w:val="001D7D63"/>
    <w:rsid w:val="001E0B30"/>
    <w:rsid w:val="001E4B0F"/>
    <w:rsid w:val="001E4D21"/>
    <w:rsid w:val="001E4EB1"/>
    <w:rsid w:val="001E6945"/>
    <w:rsid w:val="001E707A"/>
    <w:rsid w:val="001E7E90"/>
    <w:rsid w:val="001F0236"/>
    <w:rsid w:val="001F0B3F"/>
    <w:rsid w:val="001F0CAA"/>
    <w:rsid w:val="001F1386"/>
    <w:rsid w:val="001F35C4"/>
    <w:rsid w:val="001F3A24"/>
    <w:rsid w:val="001F3B9D"/>
    <w:rsid w:val="001F4E02"/>
    <w:rsid w:val="001F5391"/>
    <w:rsid w:val="001F5D25"/>
    <w:rsid w:val="001F65DA"/>
    <w:rsid w:val="001F665C"/>
    <w:rsid w:val="001F67E3"/>
    <w:rsid w:val="001F7462"/>
    <w:rsid w:val="001F76C6"/>
    <w:rsid w:val="002001B0"/>
    <w:rsid w:val="0020028A"/>
    <w:rsid w:val="0020087A"/>
    <w:rsid w:val="00200B42"/>
    <w:rsid w:val="00202B12"/>
    <w:rsid w:val="00203D66"/>
    <w:rsid w:val="00205F76"/>
    <w:rsid w:val="00205FEF"/>
    <w:rsid w:val="00207B4F"/>
    <w:rsid w:val="00210322"/>
    <w:rsid w:val="00210C55"/>
    <w:rsid w:val="002119F4"/>
    <w:rsid w:val="00211C76"/>
    <w:rsid w:val="0021205B"/>
    <w:rsid w:val="00212BE1"/>
    <w:rsid w:val="00213E95"/>
    <w:rsid w:val="002144A6"/>
    <w:rsid w:val="00214ADE"/>
    <w:rsid w:val="002179FB"/>
    <w:rsid w:val="00217B26"/>
    <w:rsid w:val="00220A51"/>
    <w:rsid w:val="00220AD9"/>
    <w:rsid w:val="00221FE5"/>
    <w:rsid w:val="002226C2"/>
    <w:rsid w:val="00223B46"/>
    <w:rsid w:val="002248FA"/>
    <w:rsid w:val="002267CD"/>
    <w:rsid w:val="002326F3"/>
    <w:rsid w:val="00233072"/>
    <w:rsid w:val="002367A7"/>
    <w:rsid w:val="002369E6"/>
    <w:rsid w:val="00237746"/>
    <w:rsid w:val="00237BDC"/>
    <w:rsid w:val="002420CD"/>
    <w:rsid w:val="00244F70"/>
    <w:rsid w:val="002457E5"/>
    <w:rsid w:val="00245F1F"/>
    <w:rsid w:val="00246DA3"/>
    <w:rsid w:val="00247604"/>
    <w:rsid w:val="0024799D"/>
    <w:rsid w:val="00247E7A"/>
    <w:rsid w:val="00250860"/>
    <w:rsid w:val="00251D76"/>
    <w:rsid w:val="00252798"/>
    <w:rsid w:val="002532E4"/>
    <w:rsid w:val="002540F5"/>
    <w:rsid w:val="00254D53"/>
    <w:rsid w:val="002563C4"/>
    <w:rsid w:val="00256B25"/>
    <w:rsid w:val="0026006B"/>
    <w:rsid w:val="002602DA"/>
    <w:rsid w:val="00261212"/>
    <w:rsid w:val="0026209C"/>
    <w:rsid w:val="0026255F"/>
    <w:rsid w:val="00263063"/>
    <w:rsid w:val="00266224"/>
    <w:rsid w:val="00267412"/>
    <w:rsid w:val="00270728"/>
    <w:rsid w:val="0027086F"/>
    <w:rsid w:val="00270ACD"/>
    <w:rsid w:val="0027140D"/>
    <w:rsid w:val="002721AD"/>
    <w:rsid w:val="00272E56"/>
    <w:rsid w:val="00275B0D"/>
    <w:rsid w:val="00280085"/>
    <w:rsid w:val="002807B2"/>
    <w:rsid w:val="002807FF"/>
    <w:rsid w:val="00280862"/>
    <w:rsid w:val="00280EA7"/>
    <w:rsid w:val="002811B5"/>
    <w:rsid w:val="0028355E"/>
    <w:rsid w:val="00284F46"/>
    <w:rsid w:val="00286125"/>
    <w:rsid w:val="00286C51"/>
    <w:rsid w:val="002870F9"/>
    <w:rsid w:val="00287D60"/>
    <w:rsid w:val="002913CF"/>
    <w:rsid w:val="00293273"/>
    <w:rsid w:val="002943A4"/>
    <w:rsid w:val="00294BAA"/>
    <w:rsid w:val="002975A9"/>
    <w:rsid w:val="002A061F"/>
    <w:rsid w:val="002A2B01"/>
    <w:rsid w:val="002A31F2"/>
    <w:rsid w:val="002A3257"/>
    <w:rsid w:val="002A32AC"/>
    <w:rsid w:val="002A3C75"/>
    <w:rsid w:val="002A4127"/>
    <w:rsid w:val="002A417A"/>
    <w:rsid w:val="002A428D"/>
    <w:rsid w:val="002A42DE"/>
    <w:rsid w:val="002A4A35"/>
    <w:rsid w:val="002A5E1B"/>
    <w:rsid w:val="002A6850"/>
    <w:rsid w:val="002A75AA"/>
    <w:rsid w:val="002B06D4"/>
    <w:rsid w:val="002B1094"/>
    <w:rsid w:val="002B257F"/>
    <w:rsid w:val="002B2BB4"/>
    <w:rsid w:val="002B351F"/>
    <w:rsid w:val="002B387C"/>
    <w:rsid w:val="002B3BED"/>
    <w:rsid w:val="002B60CE"/>
    <w:rsid w:val="002C0472"/>
    <w:rsid w:val="002C1F05"/>
    <w:rsid w:val="002C3571"/>
    <w:rsid w:val="002C4305"/>
    <w:rsid w:val="002D004B"/>
    <w:rsid w:val="002D0F74"/>
    <w:rsid w:val="002D1C62"/>
    <w:rsid w:val="002D2E9B"/>
    <w:rsid w:val="002D335A"/>
    <w:rsid w:val="002D3421"/>
    <w:rsid w:val="002D4131"/>
    <w:rsid w:val="002D5BC0"/>
    <w:rsid w:val="002D6A3A"/>
    <w:rsid w:val="002D6BF7"/>
    <w:rsid w:val="002D6D87"/>
    <w:rsid w:val="002D78F6"/>
    <w:rsid w:val="002D79FC"/>
    <w:rsid w:val="002E13CE"/>
    <w:rsid w:val="002E17B9"/>
    <w:rsid w:val="002E20F9"/>
    <w:rsid w:val="002E21F3"/>
    <w:rsid w:val="002E3D76"/>
    <w:rsid w:val="002E5F2A"/>
    <w:rsid w:val="002E62A0"/>
    <w:rsid w:val="002E6754"/>
    <w:rsid w:val="002E759B"/>
    <w:rsid w:val="002F1907"/>
    <w:rsid w:val="002F1E47"/>
    <w:rsid w:val="002F23DB"/>
    <w:rsid w:val="002F2DED"/>
    <w:rsid w:val="002F2E6D"/>
    <w:rsid w:val="002F32AA"/>
    <w:rsid w:val="002F428E"/>
    <w:rsid w:val="002F4B59"/>
    <w:rsid w:val="002F4D26"/>
    <w:rsid w:val="002F5E56"/>
    <w:rsid w:val="002F6E62"/>
    <w:rsid w:val="00300AF7"/>
    <w:rsid w:val="00300C65"/>
    <w:rsid w:val="00301D9A"/>
    <w:rsid w:val="00302052"/>
    <w:rsid w:val="00302495"/>
    <w:rsid w:val="003025D9"/>
    <w:rsid w:val="003027C0"/>
    <w:rsid w:val="003029CD"/>
    <w:rsid w:val="003036DC"/>
    <w:rsid w:val="003052E3"/>
    <w:rsid w:val="00305A41"/>
    <w:rsid w:val="003077B7"/>
    <w:rsid w:val="00307AC1"/>
    <w:rsid w:val="00311235"/>
    <w:rsid w:val="003114B3"/>
    <w:rsid w:val="00313A75"/>
    <w:rsid w:val="003148CD"/>
    <w:rsid w:val="00314A0F"/>
    <w:rsid w:val="0031529A"/>
    <w:rsid w:val="00315B94"/>
    <w:rsid w:val="00315D54"/>
    <w:rsid w:val="00316280"/>
    <w:rsid w:val="0031646F"/>
    <w:rsid w:val="00323D01"/>
    <w:rsid w:val="003242AE"/>
    <w:rsid w:val="00324B0C"/>
    <w:rsid w:val="00324DD1"/>
    <w:rsid w:val="00330598"/>
    <w:rsid w:val="00331F4A"/>
    <w:rsid w:val="00332A96"/>
    <w:rsid w:val="00332BA4"/>
    <w:rsid w:val="00332C8F"/>
    <w:rsid w:val="00334276"/>
    <w:rsid w:val="00334B97"/>
    <w:rsid w:val="00334C59"/>
    <w:rsid w:val="00335E16"/>
    <w:rsid w:val="003369F0"/>
    <w:rsid w:val="00336B46"/>
    <w:rsid w:val="00341AE8"/>
    <w:rsid w:val="003447BC"/>
    <w:rsid w:val="0034576B"/>
    <w:rsid w:val="003466BF"/>
    <w:rsid w:val="00346E4C"/>
    <w:rsid w:val="00347ECE"/>
    <w:rsid w:val="003509B4"/>
    <w:rsid w:val="003509E5"/>
    <w:rsid w:val="00350F41"/>
    <w:rsid w:val="003522B3"/>
    <w:rsid w:val="003522C0"/>
    <w:rsid w:val="00352728"/>
    <w:rsid w:val="00353B40"/>
    <w:rsid w:val="00354D39"/>
    <w:rsid w:val="003554EC"/>
    <w:rsid w:val="00355F82"/>
    <w:rsid w:val="00356A1F"/>
    <w:rsid w:val="00356AAC"/>
    <w:rsid w:val="00356C71"/>
    <w:rsid w:val="0035701D"/>
    <w:rsid w:val="0035746F"/>
    <w:rsid w:val="00360505"/>
    <w:rsid w:val="00360DE7"/>
    <w:rsid w:val="0036316C"/>
    <w:rsid w:val="00363921"/>
    <w:rsid w:val="00363EE7"/>
    <w:rsid w:val="00363F83"/>
    <w:rsid w:val="00363F9E"/>
    <w:rsid w:val="00364796"/>
    <w:rsid w:val="00364963"/>
    <w:rsid w:val="00365151"/>
    <w:rsid w:val="003656B8"/>
    <w:rsid w:val="003674F5"/>
    <w:rsid w:val="00367A92"/>
    <w:rsid w:val="00367B5D"/>
    <w:rsid w:val="00367BD0"/>
    <w:rsid w:val="00370512"/>
    <w:rsid w:val="0037115D"/>
    <w:rsid w:val="00371603"/>
    <w:rsid w:val="00372BAB"/>
    <w:rsid w:val="0037428B"/>
    <w:rsid w:val="003752CD"/>
    <w:rsid w:val="00375557"/>
    <w:rsid w:val="00375B8B"/>
    <w:rsid w:val="0037707F"/>
    <w:rsid w:val="00377CDF"/>
    <w:rsid w:val="00380F03"/>
    <w:rsid w:val="0038149E"/>
    <w:rsid w:val="003823CF"/>
    <w:rsid w:val="00382607"/>
    <w:rsid w:val="00382933"/>
    <w:rsid w:val="00383925"/>
    <w:rsid w:val="00384866"/>
    <w:rsid w:val="00384D80"/>
    <w:rsid w:val="00384F74"/>
    <w:rsid w:val="00385693"/>
    <w:rsid w:val="00390422"/>
    <w:rsid w:val="00390970"/>
    <w:rsid w:val="00390B30"/>
    <w:rsid w:val="0039168B"/>
    <w:rsid w:val="00392D0B"/>
    <w:rsid w:val="0039327E"/>
    <w:rsid w:val="003943A4"/>
    <w:rsid w:val="00394718"/>
    <w:rsid w:val="00394EBB"/>
    <w:rsid w:val="00396449"/>
    <w:rsid w:val="00396E8D"/>
    <w:rsid w:val="003A06D0"/>
    <w:rsid w:val="003A1B46"/>
    <w:rsid w:val="003A202E"/>
    <w:rsid w:val="003A212B"/>
    <w:rsid w:val="003A21BE"/>
    <w:rsid w:val="003A2221"/>
    <w:rsid w:val="003A2DCE"/>
    <w:rsid w:val="003A31C5"/>
    <w:rsid w:val="003A3235"/>
    <w:rsid w:val="003A4070"/>
    <w:rsid w:val="003A4B6F"/>
    <w:rsid w:val="003B0683"/>
    <w:rsid w:val="003B08F4"/>
    <w:rsid w:val="003B17E8"/>
    <w:rsid w:val="003B1C7C"/>
    <w:rsid w:val="003B1DB1"/>
    <w:rsid w:val="003B2988"/>
    <w:rsid w:val="003B351F"/>
    <w:rsid w:val="003B3B82"/>
    <w:rsid w:val="003B47DE"/>
    <w:rsid w:val="003B4E5B"/>
    <w:rsid w:val="003B5E15"/>
    <w:rsid w:val="003B6097"/>
    <w:rsid w:val="003B6149"/>
    <w:rsid w:val="003B6F45"/>
    <w:rsid w:val="003B7272"/>
    <w:rsid w:val="003B7520"/>
    <w:rsid w:val="003C01B0"/>
    <w:rsid w:val="003C083B"/>
    <w:rsid w:val="003C281A"/>
    <w:rsid w:val="003C33C8"/>
    <w:rsid w:val="003C42AE"/>
    <w:rsid w:val="003C4CEF"/>
    <w:rsid w:val="003C6F9B"/>
    <w:rsid w:val="003D09E9"/>
    <w:rsid w:val="003D0EB1"/>
    <w:rsid w:val="003D1D03"/>
    <w:rsid w:val="003D27DE"/>
    <w:rsid w:val="003D27ED"/>
    <w:rsid w:val="003D3595"/>
    <w:rsid w:val="003D3DB1"/>
    <w:rsid w:val="003D3FE1"/>
    <w:rsid w:val="003D4119"/>
    <w:rsid w:val="003D453D"/>
    <w:rsid w:val="003D4B0D"/>
    <w:rsid w:val="003D4E48"/>
    <w:rsid w:val="003D5E51"/>
    <w:rsid w:val="003D7531"/>
    <w:rsid w:val="003E100C"/>
    <w:rsid w:val="003E1979"/>
    <w:rsid w:val="003E26F9"/>
    <w:rsid w:val="003E35B0"/>
    <w:rsid w:val="003E36CA"/>
    <w:rsid w:val="003E4314"/>
    <w:rsid w:val="003E646F"/>
    <w:rsid w:val="003E7C18"/>
    <w:rsid w:val="003E7E56"/>
    <w:rsid w:val="003F1AA9"/>
    <w:rsid w:val="003F2BB7"/>
    <w:rsid w:val="003F5D6B"/>
    <w:rsid w:val="0040037F"/>
    <w:rsid w:val="00401A05"/>
    <w:rsid w:val="00401B36"/>
    <w:rsid w:val="004024BD"/>
    <w:rsid w:val="00402E40"/>
    <w:rsid w:val="004039A9"/>
    <w:rsid w:val="00403AC5"/>
    <w:rsid w:val="00403D1F"/>
    <w:rsid w:val="00403F85"/>
    <w:rsid w:val="00404672"/>
    <w:rsid w:val="00406EBA"/>
    <w:rsid w:val="004070A7"/>
    <w:rsid w:val="0041021B"/>
    <w:rsid w:val="004102C1"/>
    <w:rsid w:val="00411B90"/>
    <w:rsid w:val="00413612"/>
    <w:rsid w:val="00415D6D"/>
    <w:rsid w:val="0041621C"/>
    <w:rsid w:val="004202A7"/>
    <w:rsid w:val="004231F3"/>
    <w:rsid w:val="00425493"/>
    <w:rsid w:val="004301B1"/>
    <w:rsid w:val="004302EC"/>
    <w:rsid w:val="00430D0C"/>
    <w:rsid w:val="00431CE2"/>
    <w:rsid w:val="0043240E"/>
    <w:rsid w:val="00432B49"/>
    <w:rsid w:val="00432FD3"/>
    <w:rsid w:val="00433E27"/>
    <w:rsid w:val="00435A5E"/>
    <w:rsid w:val="0043757B"/>
    <w:rsid w:val="0043790B"/>
    <w:rsid w:val="004400C2"/>
    <w:rsid w:val="0044085C"/>
    <w:rsid w:val="00440C4D"/>
    <w:rsid w:val="004410E4"/>
    <w:rsid w:val="0044195C"/>
    <w:rsid w:val="00441DE8"/>
    <w:rsid w:val="00442740"/>
    <w:rsid w:val="004434F1"/>
    <w:rsid w:val="004435DC"/>
    <w:rsid w:val="0044494A"/>
    <w:rsid w:val="00445DED"/>
    <w:rsid w:val="004468F4"/>
    <w:rsid w:val="00446A98"/>
    <w:rsid w:val="00447268"/>
    <w:rsid w:val="004505DE"/>
    <w:rsid w:val="00451AFD"/>
    <w:rsid w:val="00452AB8"/>
    <w:rsid w:val="00452E28"/>
    <w:rsid w:val="004536E9"/>
    <w:rsid w:val="00454680"/>
    <w:rsid w:val="00454992"/>
    <w:rsid w:val="0045627E"/>
    <w:rsid w:val="00457CAE"/>
    <w:rsid w:val="0046067D"/>
    <w:rsid w:val="004612B2"/>
    <w:rsid w:val="0046152D"/>
    <w:rsid w:val="00461798"/>
    <w:rsid w:val="00462EC6"/>
    <w:rsid w:val="00463EFE"/>
    <w:rsid w:val="004643C4"/>
    <w:rsid w:val="004648D2"/>
    <w:rsid w:val="004666A2"/>
    <w:rsid w:val="0046724E"/>
    <w:rsid w:val="00467BD2"/>
    <w:rsid w:val="00467F16"/>
    <w:rsid w:val="0047083D"/>
    <w:rsid w:val="00471707"/>
    <w:rsid w:val="00471BE0"/>
    <w:rsid w:val="0047225C"/>
    <w:rsid w:val="0047462D"/>
    <w:rsid w:val="004769FC"/>
    <w:rsid w:val="00476B1C"/>
    <w:rsid w:val="0047797B"/>
    <w:rsid w:val="00481BEB"/>
    <w:rsid w:val="00482A1A"/>
    <w:rsid w:val="004838FA"/>
    <w:rsid w:val="00483FF9"/>
    <w:rsid w:val="00484575"/>
    <w:rsid w:val="00484AFA"/>
    <w:rsid w:val="00484CA6"/>
    <w:rsid w:val="00484CE2"/>
    <w:rsid w:val="0048616A"/>
    <w:rsid w:val="00487B33"/>
    <w:rsid w:val="00487D6C"/>
    <w:rsid w:val="00490119"/>
    <w:rsid w:val="0049655A"/>
    <w:rsid w:val="00497CA9"/>
    <w:rsid w:val="00497F79"/>
    <w:rsid w:val="00497FB8"/>
    <w:rsid w:val="004A0E2A"/>
    <w:rsid w:val="004A26AB"/>
    <w:rsid w:val="004A34C4"/>
    <w:rsid w:val="004A45DB"/>
    <w:rsid w:val="004A4ED9"/>
    <w:rsid w:val="004A5DB8"/>
    <w:rsid w:val="004A7551"/>
    <w:rsid w:val="004B05AE"/>
    <w:rsid w:val="004B0995"/>
    <w:rsid w:val="004B151F"/>
    <w:rsid w:val="004B4B33"/>
    <w:rsid w:val="004B5896"/>
    <w:rsid w:val="004B6043"/>
    <w:rsid w:val="004B625E"/>
    <w:rsid w:val="004B7907"/>
    <w:rsid w:val="004C0488"/>
    <w:rsid w:val="004C0CDE"/>
    <w:rsid w:val="004C2425"/>
    <w:rsid w:val="004C41AC"/>
    <w:rsid w:val="004C4491"/>
    <w:rsid w:val="004C4D80"/>
    <w:rsid w:val="004C5DE5"/>
    <w:rsid w:val="004C60A5"/>
    <w:rsid w:val="004C6615"/>
    <w:rsid w:val="004C67CC"/>
    <w:rsid w:val="004C6AF2"/>
    <w:rsid w:val="004C7F67"/>
    <w:rsid w:val="004D105F"/>
    <w:rsid w:val="004D1250"/>
    <w:rsid w:val="004D17D2"/>
    <w:rsid w:val="004D1F09"/>
    <w:rsid w:val="004D3726"/>
    <w:rsid w:val="004D3A4F"/>
    <w:rsid w:val="004D408A"/>
    <w:rsid w:val="004D5F95"/>
    <w:rsid w:val="004E0149"/>
    <w:rsid w:val="004E0346"/>
    <w:rsid w:val="004E26A7"/>
    <w:rsid w:val="004E2AE9"/>
    <w:rsid w:val="004E33C4"/>
    <w:rsid w:val="004E38BD"/>
    <w:rsid w:val="004E5B0E"/>
    <w:rsid w:val="004E6024"/>
    <w:rsid w:val="004F01BC"/>
    <w:rsid w:val="004F0A52"/>
    <w:rsid w:val="004F1004"/>
    <w:rsid w:val="004F1BA3"/>
    <w:rsid w:val="004F1F3F"/>
    <w:rsid w:val="004F2057"/>
    <w:rsid w:val="004F286B"/>
    <w:rsid w:val="004F2C49"/>
    <w:rsid w:val="004F32A1"/>
    <w:rsid w:val="004F35D4"/>
    <w:rsid w:val="004F40F3"/>
    <w:rsid w:val="004F4A7B"/>
    <w:rsid w:val="004F5822"/>
    <w:rsid w:val="00501E15"/>
    <w:rsid w:val="005051FC"/>
    <w:rsid w:val="0050556D"/>
    <w:rsid w:val="00506669"/>
    <w:rsid w:val="00510E89"/>
    <w:rsid w:val="0051252A"/>
    <w:rsid w:val="00513329"/>
    <w:rsid w:val="0051341B"/>
    <w:rsid w:val="00513885"/>
    <w:rsid w:val="005143FD"/>
    <w:rsid w:val="005146E3"/>
    <w:rsid w:val="0051493E"/>
    <w:rsid w:val="005154D7"/>
    <w:rsid w:val="005157D8"/>
    <w:rsid w:val="0051714A"/>
    <w:rsid w:val="0051799D"/>
    <w:rsid w:val="00520739"/>
    <w:rsid w:val="00520EEB"/>
    <w:rsid w:val="005216E5"/>
    <w:rsid w:val="005218F0"/>
    <w:rsid w:val="00521913"/>
    <w:rsid w:val="00521EB4"/>
    <w:rsid w:val="0052271C"/>
    <w:rsid w:val="00522B53"/>
    <w:rsid w:val="00522DD7"/>
    <w:rsid w:val="005237A0"/>
    <w:rsid w:val="00523AC3"/>
    <w:rsid w:val="00523BE7"/>
    <w:rsid w:val="00523C9B"/>
    <w:rsid w:val="00526A81"/>
    <w:rsid w:val="00526D30"/>
    <w:rsid w:val="00530341"/>
    <w:rsid w:val="00531F2C"/>
    <w:rsid w:val="00531F65"/>
    <w:rsid w:val="00532053"/>
    <w:rsid w:val="005329A5"/>
    <w:rsid w:val="005329F0"/>
    <w:rsid w:val="00533D8D"/>
    <w:rsid w:val="00534136"/>
    <w:rsid w:val="005347B3"/>
    <w:rsid w:val="00534EA5"/>
    <w:rsid w:val="0053506E"/>
    <w:rsid w:val="00540284"/>
    <w:rsid w:val="00541E97"/>
    <w:rsid w:val="005430D5"/>
    <w:rsid w:val="0054379E"/>
    <w:rsid w:val="00544CF7"/>
    <w:rsid w:val="00544E57"/>
    <w:rsid w:val="00545457"/>
    <w:rsid w:val="00545C85"/>
    <w:rsid w:val="005464E8"/>
    <w:rsid w:val="0054671B"/>
    <w:rsid w:val="0054688A"/>
    <w:rsid w:val="00547241"/>
    <w:rsid w:val="005505D1"/>
    <w:rsid w:val="00551907"/>
    <w:rsid w:val="00552B00"/>
    <w:rsid w:val="0055346F"/>
    <w:rsid w:val="00553D54"/>
    <w:rsid w:val="005543CD"/>
    <w:rsid w:val="00554926"/>
    <w:rsid w:val="00555560"/>
    <w:rsid w:val="00556E5F"/>
    <w:rsid w:val="005571D4"/>
    <w:rsid w:val="00557660"/>
    <w:rsid w:val="00557EF3"/>
    <w:rsid w:val="005601BC"/>
    <w:rsid w:val="005605AE"/>
    <w:rsid w:val="00560F4C"/>
    <w:rsid w:val="00561973"/>
    <w:rsid w:val="00561D50"/>
    <w:rsid w:val="00564944"/>
    <w:rsid w:val="00564AB4"/>
    <w:rsid w:val="005711C6"/>
    <w:rsid w:val="00573267"/>
    <w:rsid w:val="005732BC"/>
    <w:rsid w:val="00573675"/>
    <w:rsid w:val="00573BB8"/>
    <w:rsid w:val="005747E4"/>
    <w:rsid w:val="00574D5A"/>
    <w:rsid w:val="00575DA8"/>
    <w:rsid w:val="005762CF"/>
    <w:rsid w:val="005804D9"/>
    <w:rsid w:val="00580818"/>
    <w:rsid w:val="00581719"/>
    <w:rsid w:val="00581DF8"/>
    <w:rsid w:val="00581FF0"/>
    <w:rsid w:val="0058309C"/>
    <w:rsid w:val="005833AD"/>
    <w:rsid w:val="005838C9"/>
    <w:rsid w:val="00583F40"/>
    <w:rsid w:val="00584B17"/>
    <w:rsid w:val="005853F8"/>
    <w:rsid w:val="00585CE8"/>
    <w:rsid w:val="00587328"/>
    <w:rsid w:val="0059011C"/>
    <w:rsid w:val="005908BA"/>
    <w:rsid w:val="00590A48"/>
    <w:rsid w:val="00591F99"/>
    <w:rsid w:val="00593263"/>
    <w:rsid w:val="005935F9"/>
    <w:rsid w:val="005953A8"/>
    <w:rsid w:val="005953B9"/>
    <w:rsid w:val="005954F7"/>
    <w:rsid w:val="005958DD"/>
    <w:rsid w:val="0059668F"/>
    <w:rsid w:val="00596E32"/>
    <w:rsid w:val="005971ED"/>
    <w:rsid w:val="00597C62"/>
    <w:rsid w:val="005A060C"/>
    <w:rsid w:val="005A3D18"/>
    <w:rsid w:val="005A4BA3"/>
    <w:rsid w:val="005A4C28"/>
    <w:rsid w:val="005A4D81"/>
    <w:rsid w:val="005B0525"/>
    <w:rsid w:val="005B080E"/>
    <w:rsid w:val="005B39AC"/>
    <w:rsid w:val="005B3FC5"/>
    <w:rsid w:val="005B4B21"/>
    <w:rsid w:val="005B55FD"/>
    <w:rsid w:val="005B6CDF"/>
    <w:rsid w:val="005C10AA"/>
    <w:rsid w:val="005C17F1"/>
    <w:rsid w:val="005C181E"/>
    <w:rsid w:val="005C1D9E"/>
    <w:rsid w:val="005C2C5D"/>
    <w:rsid w:val="005C31B4"/>
    <w:rsid w:val="005C43F4"/>
    <w:rsid w:val="005C5D52"/>
    <w:rsid w:val="005C678C"/>
    <w:rsid w:val="005C7B36"/>
    <w:rsid w:val="005C7CBC"/>
    <w:rsid w:val="005D0890"/>
    <w:rsid w:val="005D0FA6"/>
    <w:rsid w:val="005D1682"/>
    <w:rsid w:val="005D16CA"/>
    <w:rsid w:val="005D265C"/>
    <w:rsid w:val="005D39F1"/>
    <w:rsid w:val="005D4C1C"/>
    <w:rsid w:val="005D5C32"/>
    <w:rsid w:val="005D62C4"/>
    <w:rsid w:val="005D6520"/>
    <w:rsid w:val="005D7BE5"/>
    <w:rsid w:val="005E0A31"/>
    <w:rsid w:val="005E0F0B"/>
    <w:rsid w:val="005E2B8F"/>
    <w:rsid w:val="005E310A"/>
    <w:rsid w:val="005E42D9"/>
    <w:rsid w:val="005E53F3"/>
    <w:rsid w:val="005E5C5E"/>
    <w:rsid w:val="005E66B6"/>
    <w:rsid w:val="005E7B68"/>
    <w:rsid w:val="005F0077"/>
    <w:rsid w:val="005F0AD1"/>
    <w:rsid w:val="005F1AF0"/>
    <w:rsid w:val="005F2BB3"/>
    <w:rsid w:val="005F36F8"/>
    <w:rsid w:val="005F4D91"/>
    <w:rsid w:val="005F5604"/>
    <w:rsid w:val="005F5A8F"/>
    <w:rsid w:val="005F68D5"/>
    <w:rsid w:val="005F6B82"/>
    <w:rsid w:val="005F6F15"/>
    <w:rsid w:val="005F72EF"/>
    <w:rsid w:val="005F73F1"/>
    <w:rsid w:val="005F7473"/>
    <w:rsid w:val="00600D5B"/>
    <w:rsid w:val="0060248B"/>
    <w:rsid w:val="0060249F"/>
    <w:rsid w:val="00603869"/>
    <w:rsid w:val="006039E6"/>
    <w:rsid w:val="00604CD1"/>
    <w:rsid w:val="006111B1"/>
    <w:rsid w:val="0061123A"/>
    <w:rsid w:val="00611866"/>
    <w:rsid w:val="00612A23"/>
    <w:rsid w:val="006135D6"/>
    <w:rsid w:val="006139C2"/>
    <w:rsid w:val="00617D4D"/>
    <w:rsid w:val="00617DE2"/>
    <w:rsid w:val="0062099C"/>
    <w:rsid w:val="0062176B"/>
    <w:rsid w:val="006224CB"/>
    <w:rsid w:val="00622550"/>
    <w:rsid w:val="00623B56"/>
    <w:rsid w:val="00624497"/>
    <w:rsid w:val="00625C68"/>
    <w:rsid w:val="00627C21"/>
    <w:rsid w:val="0063114A"/>
    <w:rsid w:val="00631C46"/>
    <w:rsid w:val="00632612"/>
    <w:rsid w:val="0063517C"/>
    <w:rsid w:val="0063587E"/>
    <w:rsid w:val="00637471"/>
    <w:rsid w:val="00640B9F"/>
    <w:rsid w:val="006413B2"/>
    <w:rsid w:val="00643C4A"/>
    <w:rsid w:val="00646716"/>
    <w:rsid w:val="00647195"/>
    <w:rsid w:val="006506C1"/>
    <w:rsid w:val="00650950"/>
    <w:rsid w:val="00650EBE"/>
    <w:rsid w:val="00651261"/>
    <w:rsid w:val="00651EA9"/>
    <w:rsid w:val="006540A3"/>
    <w:rsid w:val="006551C4"/>
    <w:rsid w:val="00656BB0"/>
    <w:rsid w:val="006571E7"/>
    <w:rsid w:val="00657536"/>
    <w:rsid w:val="0065785C"/>
    <w:rsid w:val="006609F5"/>
    <w:rsid w:val="00660BF2"/>
    <w:rsid w:val="006620CA"/>
    <w:rsid w:val="0066211E"/>
    <w:rsid w:val="0066234E"/>
    <w:rsid w:val="00662E9D"/>
    <w:rsid w:val="00663993"/>
    <w:rsid w:val="00663A32"/>
    <w:rsid w:val="00664549"/>
    <w:rsid w:val="006647F7"/>
    <w:rsid w:val="006654B9"/>
    <w:rsid w:val="006666EF"/>
    <w:rsid w:val="00666F5C"/>
    <w:rsid w:val="006671D4"/>
    <w:rsid w:val="00667996"/>
    <w:rsid w:val="00667B9F"/>
    <w:rsid w:val="00667FAD"/>
    <w:rsid w:val="00673708"/>
    <w:rsid w:val="00673EE2"/>
    <w:rsid w:val="00674EA6"/>
    <w:rsid w:val="006763A1"/>
    <w:rsid w:val="006777D7"/>
    <w:rsid w:val="00680D60"/>
    <w:rsid w:val="00680F99"/>
    <w:rsid w:val="00681143"/>
    <w:rsid w:val="0068244F"/>
    <w:rsid w:val="006825A6"/>
    <w:rsid w:val="006833A3"/>
    <w:rsid w:val="00683DA8"/>
    <w:rsid w:val="00684364"/>
    <w:rsid w:val="00684D5E"/>
    <w:rsid w:val="00685E0B"/>
    <w:rsid w:val="00685F3C"/>
    <w:rsid w:val="00686B3F"/>
    <w:rsid w:val="00686F40"/>
    <w:rsid w:val="00690208"/>
    <w:rsid w:val="006914C2"/>
    <w:rsid w:val="00693CD0"/>
    <w:rsid w:val="006941DA"/>
    <w:rsid w:val="00694297"/>
    <w:rsid w:val="00694E7E"/>
    <w:rsid w:val="00696578"/>
    <w:rsid w:val="00696E8A"/>
    <w:rsid w:val="00697C67"/>
    <w:rsid w:val="006A0019"/>
    <w:rsid w:val="006A0B79"/>
    <w:rsid w:val="006A0E88"/>
    <w:rsid w:val="006A1BAF"/>
    <w:rsid w:val="006A264C"/>
    <w:rsid w:val="006A3291"/>
    <w:rsid w:val="006A3908"/>
    <w:rsid w:val="006A4518"/>
    <w:rsid w:val="006A5B71"/>
    <w:rsid w:val="006A6AF6"/>
    <w:rsid w:val="006A7C09"/>
    <w:rsid w:val="006B3394"/>
    <w:rsid w:val="006B3EE9"/>
    <w:rsid w:val="006B41CA"/>
    <w:rsid w:val="006B593A"/>
    <w:rsid w:val="006B5E75"/>
    <w:rsid w:val="006B640E"/>
    <w:rsid w:val="006B79C1"/>
    <w:rsid w:val="006B7AC0"/>
    <w:rsid w:val="006B7ACA"/>
    <w:rsid w:val="006B7CA6"/>
    <w:rsid w:val="006C0FCA"/>
    <w:rsid w:val="006C436F"/>
    <w:rsid w:val="006C5DF1"/>
    <w:rsid w:val="006C621A"/>
    <w:rsid w:val="006D09DE"/>
    <w:rsid w:val="006D0B95"/>
    <w:rsid w:val="006D0B97"/>
    <w:rsid w:val="006D167D"/>
    <w:rsid w:val="006D1B06"/>
    <w:rsid w:val="006D1D25"/>
    <w:rsid w:val="006D2786"/>
    <w:rsid w:val="006D2825"/>
    <w:rsid w:val="006D4DE8"/>
    <w:rsid w:val="006D52F7"/>
    <w:rsid w:val="006D5779"/>
    <w:rsid w:val="006D783A"/>
    <w:rsid w:val="006E0654"/>
    <w:rsid w:val="006E0DC3"/>
    <w:rsid w:val="006E122A"/>
    <w:rsid w:val="006E2799"/>
    <w:rsid w:val="006E3134"/>
    <w:rsid w:val="006E39F4"/>
    <w:rsid w:val="006E4015"/>
    <w:rsid w:val="006E48D9"/>
    <w:rsid w:val="006E5548"/>
    <w:rsid w:val="006E554E"/>
    <w:rsid w:val="006E69DD"/>
    <w:rsid w:val="006F12FD"/>
    <w:rsid w:val="006F19DD"/>
    <w:rsid w:val="006F1AB7"/>
    <w:rsid w:val="006F28CB"/>
    <w:rsid w:val="006F3646"/>
    <w:rsid w:val="006F3698"/>
    <w:rsid w:val="006F4D5D"/>
    <w:rsid w:val="006F5357"/>
    <w:rsid w:val="006F5D7D"/>
    <w:rsid w:val="007000A3"/>
    <w:rsid w:val="007002FF"/>
    <w:rsid w:val="00700CB8"/>
    <w:rsid w:val="00704FED"/>
    <w:rsid w:val="00705B66"/>
    <w:rsid w:val="00705C4D"/>
    <w:rsid w:val="00705D72"/>
    <w:rsid w:val="00706D9D"/>
    <w:rsid w:val="00707213"/>
    <w:rsid w:val="00712F50"/>
    <w:rsid w:val="007134AD"/>
    <w:rsid w:val="0071484E"/>
    <w:rsid w:val="0071507B"/>
    <w:rsid w:val="00715F8F"/>
    <w:rsid w:val="0071648F"/>
    <w:rsid w:val="007166AC"/>
    <w:rsid w:val="00720A48"/>
    <w:rsid w:val="00721A82"/>
    <w:rsid w:val="00721E4C"/>
    <w:rsid w:val="00722207"/>
    <w:rsid w:val="0072257E"/>
    <w:rsid w:val="00723645"/>
    <w:rsid w:val="00724B09"/>
    <w:rsid w:val="00724CF1"/>
    <w:rsid w:val="0072600A"/>
    <w:rsid w:val="00726357"/>
    <w:rsid w:val="007269C2"/>
    <w:rsid w:val="00726CEE"/>
    <w:rsid w:val="0072720D"/>
    <w:rsid w:val="00727AC9"/>
    <w:rsid w:val="00727E67"/>
    <w:rsid w:val="00730092"/>
    <w:rsid w:val="00733F93"/>
    <w:rsid w:val="00734389"/>
    <w:rsid w:val="00735049"/>
    <w:rsid w:val="00735C49"/>
    <w:rsid w:val="00737ACE"/>
    <w:rsid w:val="0074305A"/>
    <w:rsid w:val="00743B4D"/>
    <w:rsid w:val="00744790"/>
    <w:rsid w:val="00744B10"/>
    <w:rsid w:val="00744DA5"/>
    <w:rsid w:val="00747B1B"/>
    <w:rsid w:val="00747BB1"/>
    <w:rsid w:val="007523DB"/>
    <w:rsid w:val="00752CC7"/>
    <w:rsid w:val="00754EBB"/>
    <w:rsid w:val="007554F3"/>
    <w:rsid w:val="00756E70"/>
    <w:rsid w:val="0075734B"/>
    <w:rsid w:val="007573E8"/>
    <w:rsid w:val="00757786"/>
    <w:rsid w:val="00757F89"/>
    <w:rsid w:val="0076207D"/>
    <w:rsid w:val="00762152"/>
    <w:rsid w:val="00763430"/>
    <w:rsid w:val="00763450"/>
    <w:rsid w:val="00763706"/>
    <w:rsid w:val="0076417B"/>
    <w:rsid w:val="007642EF"/>
    <w:rsid w:val="0076563F"/>
    <w:rsid w:val="0076578B"/>
    <w:rsid w:val="00765A8E"/>
    <w:rsid w:val="00765B9D"/>
    <w:rsid w:val="00766794"/>
    <w:rsid w:val="00766940"/>
    <w:rsid w:val="00767E5E"/>
    <w:rsid w:val="00767F85"/>
    <w:rsid w:val="00770195"/>
    <w:rsid w:val="00770200"/>
    <w:rsid w:val="00770CF5"/>
    <w:rsid w:val="00771E46"/>
    <w:rsid w:val="007740F6"/>
    <w:rsid w:val="00775DD3"/>
    <w:rsid w:val="00775E23"/>
    <w:rsid w:val="00775FA5"/>
    <w:rsid w:val="00776328"/>
    <w:rsid w:val="00777040"/>
    <w:rsid w:val="00780CFF"/>
    <w:rsid w:val="00781362"/>
    <w:rsid w:val="00781411"/>
    <w:rsid w:val="007817E0"/>
    <w:rsid w:val="0078382C"/>
    <w:rsid w:val="00784F15"/>
    <w:rsid w:val="00784F2D"/>
    <w:rsid w:val="00785AF0"/>
    <w:rsid w:val="00787E00"/>
    <w:rsid w:val="007902DA"/>
    <w:rsid w:val="007913F7"/>
    <w:rsid w:val="007916A5"/>
    <w:rsid w:val="0079174A"/>
    <w:rsid w:val="007926AA"/>
    <w:rsid w:val="0079311E"/>
    <w:rsid w:val="0079327B"/>
    <w:rsid w:val="00793F0A"/>
    <w:rsid w:val="00794029"/>
    <w:rsid w:val="00794E01"/>
    <w:rsid w:val="00795EB4"/>
    <w:rsid w:val="00796D62"/>
    <w:rsid w:val="007974EA"/>
    <w:rsid w:val="00797762"/>
    <w:rsid w:val="007A08E6"/>
    <w:rsid w:val="007A0943"/>
    <w:rsid w:val="007A0C70"/>
    <w:rsid w:val="007A1473"/>
    <w:rsid w:val="007A3EFD"/>
    <w:rsid w:val="007A51E6"/>
    <w:rsid w:val="007A6576"/>
    <w:rsid w:val="007A7A53"/>
    <w:rsid w:val="007A7D37"/>
    <w:rsid w:val="007B0F79"/>
    <w:rsid w:val="007B2351"/>
    <w:rsid w:val="007B3F7A"/>
    <w:rsid w:val="007B4D42"/>
    <w:rsid w:val="007B58B0"/>
    <w:rsid w:val="007B6260"/>
    <w:rsid w:val="007C18FE"/>
    <w:rsid w:val="007C19E8"/>
    <w:rsid w:val="007C2968"/>
    <w:rsid w:val="007C34E5"/>
    <w:rsid w:val="007C4112"/>
    <w:rsid w:val="007C4241"/>
    <w:rsid w:val="007C46B1"/>
    <w:rsid w:val="007C5957"/>
    <w:rsid w:val="007C7394"/>
    <w:rsid w:val="007D1085"/>
    <w:rsid w:val="007D17EA"/>
    <w:rsid w:val="007D2086"/>
    <w:rsid w:val="007D41F6"/>
    <w:rsid w:val="007D4C7F"/>
    <w:rsid w:val="007D7323"/>
    <w:rsid w:val="007D7468"/>
    <w:rsid w:val="007D7B59"/>
    <w:rsid w:val="007E040C"/>
    <w:rsid w:val="007E0603"/>
    <w:rsid w:val="007E1F7A"/>
    <w:rsid w:val="007E76DF"/>
    <w:rsid w:val="007F1FE4"/>
    <w:rsid w:val="007F2A4E"/>
    <w:rsid w:val="007F32D0"/>
    <w:rsid w:val="007F3BF5"/>
    <w:rsid w:val="007F4F1B"/>
    <w:rsid w:val="007F639D"/>
    <w:rsid w:val="007F7CF9"/>
    <w:rsid w:val="0080036F"/>
    <w:rsid w:val="00800D49"/>
    <w:rsid w:val="00803416"/>
    <w:rsid w:val="00805190"/>
    <w:rsid w:val="00806887"/>
    <w:rsid w:val="00806B12"/>
    <w:rsid w:val="00807826"/>
    <w:rsid w:val="00807B67"/>
    <w:rsid w:val="00810191"/>
    <w:rsid w:val="008105B4"/>
    <w:rsid w:val="0081164D"/>
    <w:rsid w:val="00811F35"/>
    <w:rsid w:val="008120A8"/>
    <w:rsid w:val="008128A6"/>
    <w:rsid w:val="00812F8F"/>
    <w:rsid w:val="00814D7B"/>
    <w:rsid w:val="008151B1"/>
    <w:rsid w:val="008151BF"/>
    <w:rsid w:val="00815263"/>
    <w:rsid w:val="008153AD"/>
    <w:rsid w:val="00816763"/>
    <w:rsid w:val="00817B34"/>
    <w:rsid w:val="00820BFA"/>
    <w:rsid w:val="00821DE2"/>
    <w:rsid w:val="008229C3"/>
    <w:rsid w:val="00823271"/>
    <w:rsid w:val="0082370A"/>
    <w:rsid w:val="00824015"/>
    <w:rsid w:val="00824AD5"/>
    <w:rsid w:val="0082754C"/>
    <w:rsid w:val="008306B9"/>
    <w:rsid w:val="0083168E"/>
    <w:rsid w:val="0083257E"/>
    <w:rsid w:val="0083621F"/>
    <w:rsid w:val="00836B32"/>
    <w:rsid w:val="008423F9"/>
    <w:rsid w:val="00843A2C"/>
    <w:rsid w:val="00843B8D"/>
    <w:rsid w:val="00847B50"/>
    <w:rsid w:val="00850A07"/>
    <w:rsid w:val="0085219E"/>
    <w:rsid w:val="00852681"/>
    <w:rsid w:val="008537BE"/>
    <w:rsid w:val="008540D8"/>
    <w:rsid w:val="00854D81"/>
    <w:rsid w:val="00854D99"/>
    <w:rsid w:val="0085536E"/>
    <w:rsid w:val="00855725"/>
    <w:rsid w:val="0085632B"/>
    <w:rsid w:val="008612CF"/>
    <w:rsid w:val="008634D4"/>
    <w:rsid w:val="00863EBD"/>
    <w:rsid w:val="008640FB"/>
    <w:rsid w:val="008647CC"/>
    <w:rsid w:val="00864824"/>
    <w:rsid w:val="00866B09"/>
    <w:rsid w:val="00866DBB"/>
    <w:rsid w:val="00867196"/>
    <w:rsid w:val="00867DA5"/>
    <w:rsid w:val="00873385"/>
    <w:rsid w:val="0087365D"/>
    <w:rsid w:val="00873C0E"/>
    <w:rsid w:val="00874117"/>
    <w:rsid w:val="0087518D"/>
    <w:rsid w:val="008756EC"/>
    <w:rsid w:val="00875EED"/>
    <w:rsid w:val="00876215"/>
    <w:rsid w:val="0087760F"/>
    <w:rsid w:val="00880B6B"/>
    <w:rsid w:val="008818B0"/>
    <w:rsid w:val="00881B4C"/>
    <w:rsid w:val="0088289C"/>
    <w:rsid w:val="00882FB0"/>
    <w:rsid w:val="00884430"/>
    <w:rsid w:val="00885380"/>
    <w:rsid w:val="00887E50"/>
    <w:rsid w:val="008915C2"/>
    <w:rsid w:val="00891F65"/>
    <w:rsid w:val="00891F81"/>
    <w:rsid w:val="00891FAF"/>
    <w:rsid w:val="00892020"/>
    <w:rsid w:val="00893C96"/>
    <w:rsid w:val="00893DA5"/>
    <w:rsid w:val="0089412B"/>
    <w:rsid w:val="0089474C"/>
    <w:rsid w:val="008948F1"/>
    <w:rsid w:val="00895CB8"/>
    <w:rsid w:val="00895EF9"/>
    <w:rsid w:val="00895F1B"/>
    <w:rsid w:val="00896DCA"/>
    <w:rsid w:val="008972E6"/>
    <w:rsid w:val="008A0D27"/>
    <w:rsid w:val="008A0F6F"/>
    <w:rsid w:val="008A51B1"/>
    <w:rsid w:val="008A6E37"/>
    <w:rsid w:val="008B0A7B"/>
    <w:rsid w:val="008B4AE7"/>
    <w:rsid w:val="008B60F7"/>
    <w:rsid w:val="008C1512"/>
    <w:rsid w:val="008C1576"/>
    <w:rsid w:val="008C1795"/>
    <w:rsid w:val="008C18DD"/>
    <w:rsid w:val="008C1B52"/>
    <w:rsid w:val="008C26C5"/>
    <w:rsid w:val="008C521E"/>
    <w:rsid w:val="008C53B9"/>
    <w:rsid w:val="008C66A5"/>
    <w:rsid w:val="008D0249"/>
    <w:rsid w:val="008D0362"/>
    <w:rsid w:val="008D0C35"/>
    <w:rsid w:val="008D32FA"/>
    <w:rsid w:val="008D379D"/>
    <w:rsid w:val="008D4A50"/>
    <w:rsid w:val="008D52E2"/>
    <w:rsid w:val="008E3712"/>
    <w:rsid w:val="008E3D8C"/>
    <w:rsid w:val="008E4A4A"/>
    <w:rsid w:val="008E7A71"/>
    <w:rsid w:val="008E7AEF"/>
    <w:rsid w:val="008F1844"/>
    <w:rsid w:val="008F1F9B"/>
    <w:rsid w:val="008F22EE"/>
    <w:rsid w:val="008F2A87"/>
    <w:rsid w:val="008F2AFA"/>
    <w:rsid w:val="008F302F"/>
    <w:rsid w:val="008F33AD"/>
    <w:rsid w:val="008F346B"/>
    <w:rsid w:val="008F3827"/>
    <w:rsid w:val="008F382F"/>
    <w:rsid w:val="008F3A68"/>
    <w:rsid w:val="008F3D54"/>
    <w:rsid w:val="008F3EE9"/>
    <w:rsid w:val="008F4003"/>
    <w:rsid w:val="008F4B64"/>
    <w:rsid w:val="008F5434"/>
    <w:rsid w:val="008F5991"/>
    <w:rsid w:val="008F6219"/>
    <w:rsid w:val="008F661D"/>
    <w:rsid w:val="008F6827"/>
    <w:rsid w:val="008F7025"/>
    <w:rsid w:val="008F70EB"/>
    <w:rsid w:val="008F7D14"/>
    <w:rsid w:val="008F7EE5"/>
    <w:rsid w:val="00900090"/>
    <w:rsid w:val="00901870"/>
    <w:rsid w:val="00901DFD"/>
    <w:rsid w:val="00902341"/>
    <w:rsid w:val="00902B76"/>
    <w:rsid w:val="00903F7A"/>
    <w:rsid w:val="009049E5"/>
    <w:rsid w:val="009054B1"/>
    <w:rsid w:val="0090562B"/>
    <w:rsid w:val="00905B51"/>
    <w:rsid w:val="00905FDD"/>
    <w:rsid w:val="00910018"/>
    <w:rsid w:val="0091057C"/>
    <w:rsid w:val="0091100F"/>
    <w:rsid w:val="009121F9"/>
    <w:rsid w:val="00913D2B"/>
    <w:rsid w:val="00914403"/>
    <w:rsid w:val="00914B35"/>
    <w:rsid w:val="00914FEE"/>
    <w:rsid w:val="0091626F"/>
    <w:rsid w:val="009172BB"/>
    <w:rsid w:val="00917EDF"/>
    <w:rsid w:val="00920957"/>
    <w:rsid w:val="00923053"/>
    <w:rsid w:val="0092316B"/>
    <w:rsid w:val="00924129"/>
    <w:rsid w:val="00925492"/>
    <w:rsid w:val="0092566D"/>
    <w:rsid w:val="009263DC"/>
    <w:rsid w:val="00926F95"/>
    <w:rsid w:val="00926FFF"/>
    <w:rsid w:val="00932102"/>
    <w:rsid w:val="0093240B"/>
    <w:rsid w:val="00934044"/>
    <w:rsid w:val="009342B7"/>
    <w:rsid w:val="0093656A"/>
    <w:rsid w:val="009373DD"/>
    <w:rsid w:val="00940069"/>
    <w:rsid w:val="00943EE6"/>
    <w:rsid w:val="00944630"/>
    <w:rsid w:val="00945EEE"/>
    <w:rsid w:val="009467EE"/>
    <w:rsid w:val="00947250"/>
    <w:rsid w:val="00953D0A"/>
    <w:rsid w:val="00954429"/>
    <w:rsid w:val="0095476D"/>
    <w:rsid w:val="009548BD"/>
    <w:rsid w:val="0095590D"/>
    <w:rsid w:val="00956021"/>
    <w:rsid w:val="009560EF"/>
    <w:rsid w:val="009561BA"/>
    <w:rsid w:val="009577C1"/>
    <w:rsid w:val="0095791E"/>
    <w:rsid w:val="00960BB0"/>
    <w:rsid w:val="00960C71"/>
    <w:rsid w:val="00960CEA"/>
    <w:rsid w:val="0096115C"/>
    <w:rsid w:val="00961371"/>
    <w:rsid w:val="00961AEE"/>
    <w:rsid w:val="00961F63"/>
    <w:rsid w:val="00961F89"/>
    <w:rsid w:val="00963338"/>
    <w:rsid w:val="00963B7E"/>
    <w:rsid w:val="00963B87"/>
    <w:rsid w:val="00963E4A"/>
    <w:rsid w:val="009648F5"/>
    <w:rsid w:val="0096495A"/>
    <w:rsid w:val="00965A4D"/>
    <w:rsid w:val="0096679C"/>
    <w:rsid w:val="00966E05"/>
    <w:rsid w:val="00966F5B"/>
    <w:rsid w:val="00966F74"/>
    <w:rsid w:val="00970107"/>
    <w:rsid w:val="009704BC"/>
    <w:rsid w:val="00971724"/>
    <w:rsid w:val="0097191E"/>
    <w:rsid w:val="009728B0"/>
    <w:rsid w:val="00973EF6"/>
    <w:rsid w:val="00975BD8"/>
    <w:rsid w:val="00976FB7"/>
    <w:rsid w:val="00977751"/>
    <w:rsid w:val="009804DE"/>
    <w:rsid w:val="00981DE8"/>
    <w:rsid w:val="009824BE"/>
    <w:rsid w:val="009856A6"/>
    <w:rsid w:val="009864D3"/>
    <w:rsid w:val="009900EA"/>
    <w:rsid w:val="009909B4"/>
    <w:rsid w:val="00991BBA"/>
    <w:rsid w:val="00991D9D"/>
    <w:rsid w:val="0099247E"/>
    <w:rsid w:val="009930E5"/>
    <w:rsid w:val="0099371D"/>
    <w:rsid w:val="00993BC3"/>
    <w:rsid w:val="00993CA2"/>
    <w:rsid w:val="00994571"/>
    <w:rsid w:val="00994C64"/>
    <w:rsid w:val="00995BDC"/>
    <w:rsid w:val="0099643E"/>
    <w:rsid w:val="009970AC"/>
    <w:rsid w:val="00997550"/>
    <w:rsid w:val="009A0243"/>
    <w:rsid w:val="009A1809"/>
    <w:rsid w:val="009A1897"/>
    <w:rsid w:val="009A1DEE"/>
    <w:rsid w:val="009A2EDC"/>
    <w:rsid w:val="009A32AB"/>
    <w:rsid w:val="009A5AB9"/>
    <w:rsid w:val="009A5F73"/>
    <w:rsid w:val="009A7983"/>
    <w:rsid w:val="009B192E"/>
    <w:rsid w:val="009B3469"/>
    <w:rsid w:val="009B429A"/>
    <w:rsid w:val="009B4DE1"/>
    <w:rsid w:val="009B52F6"/>
    <w:rsid w:val="009B5A0B"/>
    <w:rsid w:val="009B5BEC"/>
    <w:rsid w:val="009B6A7F"/>
    <w:rsid w:val="009B6C70"/>
    <w:rsid w:val="009B7707"/>
    <w:rsid w:val="009B779D"/>
    <w:rsid w:val="009B7A1B"/>
    <w:rsid w:val="009C0A41"/>
    <w:rsid w:val="009C25EF"/>
    <w:rsid w:val="009C4DA8"/>
    <w:rsid w:val="009C5066"/>
    <w:rsid w:val="009C54BC"/>
    <w:rsid w:val="009C6E31"/>
    <w:rsid w:val="009D0186"/>
    <w:rsid w:val="009D41E1"/>
    <w:rsid w:val="009D64DF"/>
    <w:rsid w:val="009D6A83"/>
    <w:rsid w:val="009D78B1"/>
    <w:rsid w:val="009E0674"/>
    <w:rsid w:val="009E100D"/>
    <w:rsid w:val="009E1099"/>
    <w:rsid w:val="009E4EFB"/>
    <w:rsid w:val="009E5F16"/>
    <w:rsid w:val="009E659C"/>
    <w:rsid w:val="009E6B06"/>
    <w:rsid w:val="009F0AD7"/>
    <w:rsid w:val="009F301A"/>
    <w:rsid w:val="009F3328"/>
    <w:rsid w:val="009F441B"/>
    <w:rsid w:val="009F451A"/>
    <w:rsid w:val="009F494B"/>
    <w:rsid w:val="009F4961"/>
    <w:rsid w:val="009F4B97"/>
    <w:rsid w:val="009F594B"/>
    <w:rsid w:val="009F60C3"/>
    <w:rsid w:val="009F6869"/>
    <w:rsid w:val="009F780F"/>
    <w:rsid w:val="00A011E7"/>
    <w:rsid w:val="00A01B19"/>
    <w:rsid w:val="00A01CB7"/>
    <w:rsid w:val="00A02F5B"/>
    <w:rsid w:val="00A03537"/>
    <w:rsid w:val="00A0461A"/>
    <w:rsid w:val="00A04CEF"/>
    <w:rsid w:val="00A04E08"/>
    <w:rsid w:val="00A065E6"/>
    <w:rsid w:val="00A0713A"/>
    <w:rsid w:val="00A0738E"/>
    <w:rsid w:val="00A1015E"/>
    <w:rsid w:val="00A109B0"/>
    <w:rsid w:val="00A1138F"/>
    <w:rsid w:val="00A13118"/>
    <w:rsid w:val="00A13DF7"/>
    <w:rsid w:val="00A143DE"/>
    <w:rsid w:val="00A14871"/>
    <w:rsid w:val="00A14A67"/>
    <w:rsid w:val="00A16882"/>
    <w:rsid w:val="00A17BF0"/>
    <w:rsid w:val="00A17EB5"/>
    <w:rsid w:val="00A202EE"/>
    <w:rsid w:val="00A2278B"/>
    <w:rsid w:val="00A23A52"/>
    <w:rsid w:val="00A24E38"/>
    <w:rsid w:val="00A25115"/>
    <w:rsid w:val="00A25DF5"/>
    <w:rsid w:val="00A27FA8"/>
    <w:rsid w:val="00A30E01"/>
    <w:rsid w:val="00A31975"/>
    <w:rsid w:val="00A323D4"/>
    <w:rsid w:val="00A33ECE"/>
    <w:rsid w:val="00A34A53"/>
    <w:rsid w:val="00A350B0"/>
    <w:rsid w:val="00A353B7"/>
    <w:rsid w:val="00A36020"/>
    <w:rsid w:val="00A402F2"/>
    <w:rsid w:val="00A40974"/>
    <w:rsid w:val="00A41E75"/>
    <w:rsid w:val="00A423CF"/>
    <w:rsid w:val="00A43AC3"/>
    <w:rsid w:val="00A44343"/>
    <w:rsid w:val="00A45035"/>
    <w:rsid w:val="00A504AC"/>
    <w:rsid w:val="00A51401"/>
    <w:rsid w:val="00A516A3"/>
    <w:rsid w:val="00A51B4C"/>
    <w:rsid w:val="00A51D69"/>
    <w:rsid w:val="00A531DC"/>
    <w:rsid w:val="00A53B01"/>
    <w:rsid w:val="00A54606"/>
    <w:rsid w:val="00A54623"/>
    <w:rsid w:val="00A55BEF"/>
    <w:rsid w:val="00A56A03"/>
    <w:rsid w:val="00A613C1"/>
    <w:rsid w:val="00A645C8"/>
    <w:rsid w:val="00A646B7"/>
    <w:rsid w:val="00A64D20"/>
    <w:rsid w:val="00A661E6"/>
    <w:rsid w:val="00A668B5"/>
    <w:rsid w:val="00A6762A"/>
    <w:rsid w:val="00A70357"/>
    <w:rsid w:val="00A7076C"/>
    <w:rsid w:val="00A70ED7"/>
    <w:rsid w:val="00A71398"/>
    <w:rsid w:val="00A71717"/>
    <w:rsid w:val="00A72672"/>
    <w:rsid w:val="00A73AB4"/>
    <w:rsid w:val="00A74524"/>
    <w:rsid w:val="00A74AB7"/>
    <w:rsid w:val="00A75055"/>
    <w:rsid w:val="00A758DE"/>
    <w:rsid w:val="00A75F98"/>
    <w:rsid w:val="00A767CA"/>
    <w:rsid w:val="00A769E0"/>
    <w:rsid w:val="00A77BF7"/>
    <w:rsid w:val="00A77DEC"/>
    <w:rsid w:val="00A83CF2"/>
    <w:rsid w:val="00A8483F"/>
    <w:rsid w:val="00A84D6A"/>
    <w:rsid w:val="00A867EB"/>
    <w:rsid w:val="00A87A86"/>
    <w:rsid w:val="00A9182E"/>
    <w:rsid w:val="00A91900"/>
    <w:rsid w:val="00A931AF"/>
    <w:rsid w:val="00A9419E"/>
    <w:rsid w:val="00A950D8"/>
    <w:rsid w:val="00A95E57"/>
    <w:rsid w:val="00A96CDD"/>
    <w:rsid w:val="00A976FA"/>
    <w:rsid w:val="00A97EB6"/>
    <w:rsid w:val="00AA01D3"/>
    <w:rsid w:val="00AA050C"/>
    <w:rsid w:val="00AA262E"/>
    <w:rsid w:val="00AA302B"/>
    <w:rsid w:val="00AA316B"/>
    <w:rsid w:val="00AA39B0"/>
    <w:rsid w:val="00AA458B"/>
    <w:rsid w:val="00AA5584"/>
    <w:rsid w:val="00AA6C4F"/>
    <w:rsid w:val="00AA773B"/>
    <w:rsid w:val="00AB1771"/>
    <w:rsid w:val="00AB2C4C"/>
    <w:rsid w:val="00AB2D17"/>
    <w:rsid w:val="00AB3756"/>
    <w:rsid w:val="00AB612B"/>
    <w:rsid w:val="00AB6C6B"/>
    <w:rsid w:val="00AB7203"/>
    <w:rsid w:val="00AB76D5"/>
    <w:rsid w:val="00AC0664"/>
    <w:rsid w:val="00AC1FCA"/>
    <w:rsid w:val="00AC22FB"/>
    <w:rsid w:val="00AC244E"/>
    <w:rsid w:val="00AC2C7E"/>
    <w:rsid w:val="00AC74B7"/>
    <w:rsid w:val="00AC7872"/>
    <w:rsid w:val="00AD06B6"/>
    <w:rsid w:val="00AD0735"/>
    <w:rsid w:val="00AD1F5D"/>
    <w:rsid w:val="00AD1FFF"/>
    <w:rsid w:val="00AD4048"/>
    <w:rsid w:val="00AD658D"/>
    <w:rsid w:val="00AD7522"/>
    <w:rsid w:val="00AE03E7"/>
    <w:rsid w:val="00AE1282"/>
    <w:rsid w:val="00AE2E7A"/>
    <w:rsid w:val="00AE3BDB"/>
    <w:rsid w:val="00AE4271"/>
    <w:rsid w:val="00AE477A"/>
    <w:rsid w:val="00AF0E05"/>
    <w:rsid w:val="00AF1BF2"/>
    <w:rsid w:val="00AF2B51"/>
    <w:rsid w:val="00AF2B97"/>
    <w:rsid w:val="00AF4DCE"/>
    <w:rsid w:val="00AF6302"/>
    <w:rsid w:val="00AF6F8B"/>
    <w:rsid w:val="00AF77F9"/>
    <w:rsid w:val="00B02036"/>
    <w:rsid w:val="00B0286B"/>
    <w:rsid w:val="00B02FAA"/>
    <w:rsid w:val="00B03066"/>
    <w:rsid w:val="00B04084"/>
    <w:rsid w:val="00B0476F"/>
    <w:rsid w:val="00B06738"/>
    <w:rsid w:val="00B106DA"/>
    <w:rsid w:val="00B119C6"/>
    <w:rsid w:val="00B1220F"/>
    <w:rsid w:val="00B1305E"/>
    <w:rsid w:val="00B1375D"/>
    <w:rsid w:val="00B14166"/>
    <w:rsid w:val="00B14E3C"/>
    <w:rsid w:val="00B15B0E"/>
    <w:rsid w:val="00B16176"/>
    <w:rsid w:val="00B16BF9"/>
    <w:rsid w:val="00B17E0F"/>
    <w:rsid w:val="00B20CFC"/>
    <w:rsid w:val="00B21853"/>
    <w:rsid w:val="00B21A8F"/>
    <w:rsid w:val="00B22165"/>
    <w:rsid w:val="00B24C88"/>
    <w:rsid w:val="00B263C6"/>
    <w:rsid w:val="00B26400"/>
    <w:rsid w:val="00B26DCC"/>
    <w:rsid w:val="00B26EE7"/>
    <w:rsid w:val="00B27736"/>
    <w:rsid w:val="00B301C7"/>
    <w:rsid w:val="00B332A6"/>
    <w:rsid w:val="00B35009"/>
    <w:rsid w:val="00B354F6"/>
    <w:rsid w:val="00B35BFB"/>
    <w:rsid w:val="00B3648C"/>
    <w:rsid w:val="00B36713"/>
    <w:rsid w:val="00B3697D"/>
    <w:rsid w:val="00B379A5"/>
    <w:rsid w:val="00B37E80"/>
    <w:rsid w:val="00B4170A"/>
    <w:rsid w:val="00B421C3"/>
    <w:rsid w:val="00B42905"/>
    <w:rsid w:val="00B431D7"/>
    <w:rsid w:val="00B4351C"/>
    <w:rsid w:val="00B445D2"/>
    <w:rsid w:val="00B4570F"/>
    <w:rsid w:val="00B46330"/>
    <w:rsid w:val="00B501AA"/>
    <w:rsid w:val="00B50DC4"/>
    <w:rsid w:val="00B50F0B"/>
    <w:rsid w:val="00B536BD"/>
    <w:rsid w:val="00B53A98"/>
    <w:rsid w:val="00B5463D"/>
    <w:rsid w:val="00B5557B"/>
    <w:rsid w:val="00B5559C"/>
    <w:rsid w:val="00B55E4E"/>
    <w:rsid w:val="00B5695F"/>
    <w:rsid w:val="00B57849"/>
    <w:rsid w:val="00B5796B"/>
    <w:rsid w:val="00B57E12"/>
    <w:rsid w:val="00B60220"/>
    <w:rsid w:val="00B614C6"/>
    <w:rsid w:val="00B61A1A"/>
    <w:rsid w:val="00B63D23"/>
    <w:rsid w:val="00B644C7"/>
    <w:rsid w:val="00B64510"/>
    <w:rsid w:val="00B646F8"/>
    <w:rsid w:val="00B64BCB"/>
    <w:rsid w:val="00B651E5"/>
    <w:rsid w:val="00B662CB"/>
    <w:rsid w:val="00B70502"/>
    <w:rsid w:val="00B709C9"/>
    <w:rsid w:val="00B715DD"/>
    <w:rsid w:val="00B720B2"/>
    <w:rsid w:val="00B72C70"/>
    <w:rsid w:val="00B7300F"/>
    <w:rsid w:val="00B743AD"/>
    <w:rsid w:val="00B74C0A"/>
    <w:rsid w:val="00B759D6"/>
    <w:rsid w:val="00B770A8"/>
    <w:rsid w:val="00B775F3"/>
    <w:rsid w:val="00B805E3"/>
    <w:rsid w:val="00B80AE3"/>
    <w:rsid w:val="00B810A3"/>
    <w:rsid w:val="00B811B1"/>
    <w:rsid w:val="00B82479"/>
    <w:rsid w:val="00B837AC"/>
    <w:rsid w:val="00B867BA"/>
    <w:rsid w:val="00B900E9"/>
    <w:rsid w:val="00B93F53"/>
    <w:rsid w:val="00B9522D"/>
    <w:rsid w:val="00B96324"/>
    <w:rsid w:val="00B964FA"/>
    <w:rsid w:val="00BA06E0"/>
    <w:rsid w:val="00BA08BC"/>
    <w:rsid w:val="00BA09EF"/>
    <w:rsid w:val="00BA0C79"/>
    <w:rsid w:val="00BA1333"/>
    <w:rsid w:val="00BA1A6A"/>
    <w:rsid w:val="00BA1E87"/>
    <w:rsid w:val="00BA33F3"/>
    <w:rsid w:val="00BA46BD"/>
    <w:rsid w:val="00BA4DD9"/>
    <w:rsid w:val="00BA6CC3"/>
    <w:rsid w:val="00BA7010"/>
    <w:rsid w:val="00BA759C"/>
    <w:rsid w:val="00BB189A"/>
    <w:rsid w:val="00BB22C3"/>
    <w:rsid w:val="00BB270E"/>
    <w:rsid w:val="00BB2F0B"/>
    <w:rsid w:val="00BB44FF"/>
    <w:rsid w:val="00BB49E5"/>
    <w:rsid w:val="00BB6318"/>
    <w:rsid w:val="00BC2A23"/>
    <w:rsid w:val="00BC3471"/>
    <w:rsid w:val="00BC71D3"/>
    <w:rsid w:val="00BC7B63"/>
    <w:rsid w:val="00BC7EC4"/>
    <w:rsid w:val="00BD13A6"/>
    <w:rsid w:val="00BD19A0"/>
    <w:rsid w:val="00BD2637"/>
    <w:rsid w:val="00BD28E0"/>
    <w:rsid w:val="00BD44BD"/>
    <w:rsid w:val="00BD5858"/>
    <w:rsid w:val="00BD594D"/>
    <w:rsid w:val="00BD59D3"/>
    <w:rsid w:val="00BD6664"/>
    <w:rsid w:val="00BD7BBC"/>
    <w:rsid w:val="00BE2338"/>
    <w:rsid w:val="00BE2701"/>
    <w:rsid w:val="00BE38FA"/>
    <w:rsid w:val="00BE4A8A"/>
    <w:rsid w:val="00BE50FC"/>
    <w:rsid w:val="00BE6058"/>
    <w:rsid w:val="00BF05D0"/>
    <w:rsid w:val="00BF1E20"/>
    <w:rsid w:val="00BF2907"/>
    <w:rsid w:val="00BF29C8"/>
    <w:rsid w:val="00BF2D4E"/>
    <w:rsid w:val="00BF376D"/>
    <w:rsid w:val="00BF42AA"/>
    <w:rsid w:val="00BF5F12"/>
    <w:rsid w:val="00BF71F7"/>
    <w:rsid w:val="00BF7AD5"/>
    <w:rsid w:val="00C01C97"/>
    <w:rsid w:val="00C0254E"/>
    <w:rsid w:val="00C03E1C"/>
    <w:rsid w:val="00C0445C"/>
    <w:rsid w:val="00C04F3B"/>
    <w:rsid w:val="00C054BB"/>
    <w:rsid w:val="00C06E4F"/>
    <w:rsid w:val="00C108D4"/>
    <w:rsid w:val="00C116B5"/>
    <w:rsid w:val="00C12F6D"/>
    <w:rsid w:val="00C14B52"/>
    <w:rsid w:val="00C156B1"/>
    <w:rsid w:val="00C15D88"/>
    <w:rsid w:val="00C17672"/>
    <w:rsid w:val="00C202A5"/>
    <w:rsid w:val="00C220A8"/>
    <w:rsid w:val="00C22D65"/>
    <w:rsid w:val="00C241E4"/>
    <w:rsid w:val="00C24DB3"/>
    <w:rsid w:val="00C2529E"/>
    <w:rsid w:val="00C252CF"/>
    <w:rsid w:val="00C255AA"/>
    <w:rsid w:val="00C2608D"/>
    <w:rsid w:val="00C26A4E"/>
    <w:rsid w:val="00C26D27"/>
    <w:rsid w:val="00C272EB"/>
    <w:rsid w:val="00C276A3"/>
    <w:rsid w:val="00C27703"/>
    <w:rsid w:val="00C31F37"/>
    <w:rsid w:val="00C32F1E"/>
    <w:rsid w:val="00C33300"/>
    <w:rsid w:val="00C33BD5"/>
    <w:rsid w:val="00C353E0"/>
    <w:rsid w:val="00C35C12"/>
    <w:rsid w:val="00C361D3"/>
    <w:rsid w:val="00C36DC5"/>
    <w:rsid w:val="00C3779D"/>
    <w:rsid w:val="00C37883"/>
    <w:rsid w:val="00C40193"/>
    <w:rsid w:val="00C402D0"/>
    <w:rsid w:val="00C41184"/>
    <w:rsid w:val="00C411FE"/>
    <w:rsid w:val="00C4151B"/>
    <w:rsid w:val="00C4196E"/>
    <w:rsid w:val="00C426FA"/>
    <w:rsid w:val="00C4309F"/>
    <w:rsid w:val="00C431D6"/>
    <w:rsid w:val="00C43906"/>
    <w:rsid w:val="00C43FEC"/>
    <w:rsid w:val="00C443AB"/>
    <w:rsid w:val="00C44476"/>
    <w:rsid w:val="00C476A2"/>
    <w:rsid w:val="00C5075F"/>
    <w:rsid w:val="00C50AE7"/>
    <w:rsid w:val="00C51E9C"/>
    <w:rsid w:val="00C52C58"/>
    <w:rsid w:val="00C5434D"/>
    <w:rsid w:val="00C55818"/>
    <w:rsid w:val="00C55982"/>
    <w:rsid w:val="00C55C00"/>
    <w:rsid w:val="00C57D81"/>
    <w:rsid w:val="00C62147"/>
    <w:rsid w:val="00C62990"/>
    <w:rsid w:val="00C629AC"/>
    <w:rsid w:val="00C63287"/>
    <w:rsid w:val="00C65D86"/>
    <w:rsid w:val="00C66319"/>
    <w:rsid w:val="00C67519"/>
    <w:rsid w:val="00C715B2"/>
    <w:rsid w:val="00C71BE4"/>
    <w:rsid w:val="00C7284F"/>
    <w:rsid w:val="00C7521E"/>
    <w:rsid w:val="00C75C45"/>
    <w:rsid w:val="00C77E66"/>
    <w:rsid w:val="00C815A3"/>
    <w:rsid w:val="00C82592"/>
    <w:rsid w:val="00C8259C"/>
    <w:rsid w:val="00C825E5"/>
    <w:rsid w:val="00C82961"/>
    <w:rsid w:val="00C82C8D"/>
    <w:rsid w:val="00C8498F"/>
    <w:rsid w:val="00C85E4E"/>
    <w:rsid w:val="00C866B0"/>
    <w:rsid w:val="00C86C94"/>
    <w:rsid w:val="00C9050F"/>
    <w:rsid w:val="00C930DC"/>
    <w:rsid w:val="00C937B0"/>
    <w:rsid w:val="00C93E55"/>
    <w:rsid w:val="00C942E8"/>
    <w:rsid w:val="00C94447"/>
    <w:rsid w:val="00C94B12"/>
    <w:rsid w:val="00C950DF"/>
    <w:rsid w:val="00C9562A"/>
    <w:rsid w:val="00C95CEE"/>
    <w:rsid w:val="00CA06A2"/>
    <w:rsid w:val="00CA1167"/>
    <w:rsid w:val="00CA1AEC"/>
    <w:rsid w:val="00CA2790"/>
    <w:rsid w:val="00CA2E10"/>
    <w:rsid w:val="00CA2EB9"/>
    <w:rsid w:val="00CA3884"/>
    <w:rsid w:val="00CA3C2C"/>
    <w:rsid w:val="00CA3C30"/>
    <w:rsid w:val="00CA4CFB"/>
    <w:rsid w:val="00CA5688"/>
    <w:rsid w:val="00CA59AA"/>
    <w:rsid w:val="00CA79ED"/>
    <w:rsid w:val="00CB0127"/>
    <w:rsid w:val="00CB0EF6"/>
    <w:rsid w:val="00CB160C"/>
    <w:rsid w:val="00CB1A02"/>
    <w:rsid w:val="00CB32CB"/>
    <w:rsid w:val="00CB568D"/>
    <w:rsid w:val="00CB5D1D"/>
    <w:rsid w:val="00CC05A2"/>
    <w:rsid w:val="00CC1D82"/>
    <w:rsid w:val="00CC3903"/>
    <w:rsid w:val="00CC43C0"/>
    <w:rsid w:val="00CC5004"/>
    <w:rsid w:val="00CC58C9"/>
    <w:rsid w:val="00CC5B97"/>
    <w:rsid w:val="00CC7813"/>
    <w:rsid w:val="00CC7EF2"/>
    <w:rsid w:val="00CD0019"/>
    <w:rsid w:val="00CD1651"/>
    <w:rsid w:val="00CD28D4"/>
    <w:rsid w:val="00CD46C0"/>
    <w:rsid w:val="00CD515E"/>
    <w:rsid w:val="00CD625C"/>
    <w:rsid w:val="00CE0FB7"/>
    <w:rsid w:val="00CE193C"/>
    <w:rsid w:val="00CE20FB"/>
    <w:rsid w:val="00CE23DF"/>
    <w:rsid w:val="00CE2B57"/>
    <w:rsid w:val="00CE3A71"/>
    <w:rsid w:val="00CE499E"/>
    <w:rsid w:val="00CE4A41"/>
    <w:rsid w:val="00CE4AC9"/>
    <w:rsid w:val="00CE6BE1"/>
    <w:rsid w:val="00CE7924"/>
    <w:rsid w:val="00CE7933"/>
    <w:rsid w:val="00CF10B6"/>
    <w:rsid w:val="00CF2436"/>
    <w:rsid w:val="00CF2EDA"/>
    <w:rsid w:val="00CF3689"/>
    <w:rsid w:val="00CF3CAD"/>
    <w:rsid w:val="00CF5344"/>
    <w:rsid w:val="00CF71C3"/>
    <w:rsid w:val="00CF7BBF"/>
    <w:rsid w:val="00D00D93"/>
    <w:rsid w:val="00D01603"/>
    <w:rsid w:val="00D02B85"/>
    <w:rsid w:val="00D03781"/>
    <w:rsid w:val="00D03E1B"/>
    <w:rsid w:val="00D06B83"/>
    <w:rsid w:val="00D0774B"/>
    <w:rsid w:val="00D105D9"/>
    <w:rsid w:val="00D10887"/>
    <w:rsid w:val="00D10A59"/>
    <w:rsid w:val="00D11830"/>
    <w:rsid w:val="00D12686"/>
    <w:rsid w:val="00D1328D"/>
    <w:rsid w:val="00D13676"/>
    <w:rsid w:val="00D13BA6"/>
    <w:rsid w:val="00D14286"/>
    <w:rsid w:val="00D14814"/>
    <w:rsid w:val="00D14C32"/>
    <w:rsid w:val="00D14CC3"/>
    <w:rsid w:val="00D151FC"/>
    <w:rsid w:val="00D21FC6"/>
    <w:rsid w:val="00D2249E"/>
    <w:rsid w:val="00D24343"/>
    <w:rsid w:val="00D244A4"/>
    <w:rsid w:val="00D24BA0"/>
    <w:rsid w:val="00D30700"/>
    <w:rsid w:val="00D30B09"/>
    <w:rsid w:val="00D317DF"/>
    <w:rsid w:val="00D318B5"/>
    <w:rsid w:val="00D34652"/>
    <w:rsid w:val="00D35174"/>
    <w:rsid w:val="00D3542E"/>
    <w:rsid w:val="00D3561D"/>
    <w:rsid w:val="00D37170"/>
    <w:rsid w:val="00D37447"/>
    <w:rsid w:val="00D37B9B"/>
    <w:rsid w:val="00D40110"/>
    <w:rsid w:val="00D4072E"/>
    <w:rsid w:val="00D40BEC"/>
    <w:rsid w:val="00D4121F"/>
    <w:rsid w:val="00D42225"/>
    <w:rsid w:val="00D429DB"/>
    <w:rsid w:val="00D43138"/>
    <w:rsid w:val="00D43F91"/>
    <w:rsid w:val="00D44550"/>
    <w:rsid w:val="00D4480E"/>
    <w:rsid w:val="00D44A2F"/>
    <w:rsid w:val="00D44B11"/>
    <w:rsid w:val="00D46518"/>
    <w:rsid w:val="00D4768D"/>
    <w:rsid w:val="00D507CB"/>
    <w:rsid w:val="00D50B0C"/>
    <w:rsid w:val="00D50C1B"/>
    <w:rsid w:val="00D51D36"/>
    <w:rsid w:val="00D520E9"/>
    <w:rsid w:val="00D536EB"/>
    <w:rsid w:val="00D54C79"/>
    <w:rsid w:val="00D54CC5"/>
    <w:rsid w:val="00D5517B"/>
    <w:rsid w:val="00D553A4"/>
    <w:rsid w:val="00D55BBA"/>
    <w:rsid w:val="00D55EC4"/>
    <w:rsid w:val="00D5698B"/>
    <w:rsid w:val="00D56AD1"/>
    <w:rsid w:val="00D56C9E"/>
    <w:rsid w:val="00D57E73"/>
    <w:rsid w:val="00D60D12"/>
    <w:rsid w:val="00D61035"/>
    <w:rsid w:val="00D62D5B"/>
    <w:rsid w:val="00D635AA"/>
    <w:rsid w:val="00D64223"/>
    <w:rsid w:val="00D6587C"/>
    <w:rsid w:val="00D65914"/>
    <w:rsid w:val="00D66120"/>
    <w:rsid w:val="00D670B7"/>
    <w:rsid w:val="00D672C3"/>
    <w:rsid w:val="00D673E8"/>
    <w:rsid w:val="00D70E18"/>
    <w:rsid w:val="00D713A4"/>
    <w:rsid w:val="00D72E70"/>
    <w:rsid w:val="00D73644"/>
    <w:rsid w:val="00D737C9"/>
    <w:rsid w:val="00D737F3"/>
    <w:rsid w:val="00D7423C"/>
    <w:rsid w:val="00D746DE"/>
    <w:rsid w:val="00D75627"/>
    <w:rsid w:val="00D7581E"/>
    <w:rsid w:val="00D760F9"/>
    <w:rsid w:val="00D816CE"/>
    <w:rsid w:val="00D81D05"/>
    <w:rsid w:val="00D82A40"/>
    <w:rsid w:val="00D83139"/>
    <w:rsid w:val="00D83D13"/>
    <w:rsid w:val="00D8571F"/>
    <w:rsid w:val="00D8791A"/>
    <w:rsid w:val="00D87C89"/>
    <w:rsid w:val="00D9128C"/>
    <w:rsid w:val="00D912FF"/>
    <w:rsid w:val="00D91CE3"/>
    <w:rsid w:val="00D92464"/>
    <w:rsid w:val="00D92C3D"/>
    <w:rsid w:val="00D936A7"/>
    <w:rsid w:val="00D9381C"/>
    <w:rsid w:val="00D93CBD"/>
    <w:rsid w:val="00D94BA1"/>
    <w:rsid w:val="00D95636"/>
    <w:rsid w:val="00D96BDE"/>
    <w:rsid w:val="00D97648"/>
    <w:rsid w:val="00D97DCF"/>
    <w:rsid w:val="00DA0E80"/>
    <w:rsid w:val="00DA0FBA"/>
    <w:rsid w:val="00DA146E"/>
    <w:rsid w:val="00DA1A80"/>
    <w:rsid w:val="00DA2E91"/>
    <w:rsid w:val="00DA3CCB"/>
    <w:rsid w:val="00DA44CE"/>
    <w:rsid w:val="00DA5409"/>
    <w:rsid w:val="00DA60E8"/>
    <w:rsid w:val="00DA621E"/>
    <w:rsid w:val="00DA62BC"/>
    <w:rsid w:val="00DB0407"/>
    <w:rsid w:val="00DB09B4"/>
    <w:rsid w:val="00DB50DA"/>
    <w:rsid w:val="00DB5601"/>
    <w:rsid w:val="00DB6143"/>
    <w:rsid w:val="00DB6E3A"/>
    <w:rsid w:val="00DB6E73"/>
    <w:rsid w:val="00DB6F93"/>
    <w:rsid w:val="00DB78C2"/>
    <w:rsid w:val="00DC0AC7"/>
    <w:rsid w:val="00DC1D5F"/>
    <w:rsid w:val="00DC2101"/>
    <w:rsid w:val="00DC4983"/>
    <w:rsid w:val="00DC4AD8"/>
    <w:rsid w:val="00DC5C84"/>
    <w:rsid w:val="00DC6B8E"/>
    <w:rsid w:val="00DD1ACC"/>
    <w:rsid w:val="00DD1B62"/>
    <w:rsid w:val="00DD500F"/>
    <w:rsid w:val="00DD58A4"/>
    <w:rsid w:val="00DD5D2B"/>
    <w:rsid w:val="00DD61B0"/>
    <w:rsid w:val="00DD6AD4"/>
    <w:rsid w:val="00DD7234"/>
    <w:rsid w:val="00DE020B"/>
    <w:rsid w:val="00DE0DD3"/>
    <w:rsid w:val="00DE1C50"/>
    <w:rsid w:val="00DE23C1"/>
    <w:rsid w:val="00DE3E7C"/>
    <w:rsid w:val="00DE4108"/>
    <w:rsid w:val="00DE6490"/>
    <w:rsid w:val="00DF0483"/>
    <w:rsid w:val="00DF0A14"/>
    <w:rsid w:val="00DF12CE"/>
    <w:rsid w:val="00DF12EE"/>
    <w:rsid w:val="00DF6222"/>
    <w:rsid w:val="00DF68ED"/>
    <w:rsid w:val="00DF7005"/>
    <w:rsid w:val="00DF7912"/>
    <w:rsid w:val="00DF7961"/>
    <w:rsid w:val="00DF7DCD"/>
    <w:rsid w:val="00DF7FA6"/>
    <w:rsid w:val="00E0048E"/>
    <w:rsid w:val="00E0109C"/>
    <w:rsid w:val="00E01719"/>
    <w:rsid w:val="00E02518"/>
    <w:rsid w:val="00E036C5"/>
    <w:rsid w:val="00E03AEC"/>
    <w:rsid w:val="00E044AA"/>
    <w:rsid w:val="00E04F85"/>
    <w:rsid w:val="00E06BD0"/>
    <w:rsid w:val="00E07771"/>
    <w:rsid w:val="00E10677"/>
    <w:rsid w:val="00E11406"/>
    <w:rsid w:val="00E11CB4"/>
    <w:rsid w:val="00E124D3"/>
    <w:rsid w:val="00E1443C"/>
    <w:rsid w:val="00E156BC"/>
    <w:rsid w:val="00E157DB"/>
    <w:rsid w:val="00E15DEF"/>
    <w:rsid w:val="00E15E40"/>
    <w:rsid w:val="00E1607D"/>
    <w:rsid w:val="00E163D7"/>
    <w:rsid w:val="00E16C14"/>
    <w:rsid w:val="00E17664"/>
    <w:rsid w:val="00E177C1"/>
    <w:rsid w:val="00E17AF3"/>
    <w:rsid w:val="00E213AF"/>
    <w:rsid w:val="00E21D17"/>
    <w:rsid w:val="00E223F3"/>
    <w:rsid w:val="00E2330D"/>
    <w:rsid w:val="00E25682"/>
    <w:rsid w:val="00E25F7A"/>
    <w:rsid w:val="00E2712E"/>
    <w:rsid w:val="00E2745E"/>
    <w:rsid w:val="00E27893"/>
    <w:rsid w:val="00E3115E"/>
    <w:rsid w:val="00E343F4"/>
    <w:rsid w:val="00E35A0D"/>
    <w:rsid w:val="00E37709"/>
    <w:rsid w:val="00E37893"/>
    <w:rsid w:val="00E427FC"/>
    <w:rsid w:val="00E42D6E"/>
    <w:rsid w:val="00E43785"/>
    <w:rsid w:val="00E43D97"/>
    <w:rsid w:val="00E453AE"/>
    <w:rsid w:val="00E459E4"/>
    <w:rsid w:val="00E45BEE"/>
    <w:rsid w:val="00E46195"/>
    <w:rsid w:val="00E471D0"/>
    <w:rsid w:val="00E50333"/>
    <w:rsid w:val="00E50AA5"/>
    <w:rsid w:val="00E50C39"/>
    <w:rsid w:val="00E51172"/>
    <w:rsid w:val="00E529BF"/>
    <w:rsid w:val="00E52C37"/>
    <w:rsid w:val="00E5315C"/>
    <w:rsid w:val="00E53649"/>
    <w:rsid w:val="00E5368C"/>
    <w:rsid w:val="00E53941"/>
    <w:rsid w:val="00E53A2D"/>
    <w:rsid w:val="00E53FC3"/>
    <w:rsid w:val="00E54261"/>
    <w:rsid w:val="00E5495E"/>
    <w:rsid w:val="00E54E5D"/>
    <w:rsid w:val="00E55A24"/>
    <w:rsid w:val="00E56327"/>
    <w:rsid w:val="00E568EB"/>
    <w:rsid w:val="00E62144"/>
    <w:rsid w:val="00E62C4E"/>
    <w:rsid w:val="00E62FAE"/>
    <w:rsid w:val="00E6552B"/>
    <w:rsid w:val="00E7093E"/>
    <w:rsid w:val="00E70C3C"/>
    <w:rsid w:val="00E70DAC"/>
    <w:rsid w:val="00E738AB"/>
    <w:rsid w:val="00E738BB"/>
    <w:rsid w:val="00E73A41"/>
    <w:rsid w:val="00E73DCF"/>
    <w:rsid w:val="00E742F8"/>
    <w:rsid w:val="00E753EE"/>
    <w:rsid w:val="00E75690"/>
    <w:rsid w:val="00E759E6"/>
    <w:rsid w:val="00E7639D"/>
    <w:rsid w:val="00E802F0"/>
    <w:rsid w:val="00E803D9"/>
    <w:rsid w:val="00E80445"/>
    <w:rsid w:val="00E81071"/>
    <w:rsid w:val="00E829BB"/>
    <w:rsid w:val="00E83AB4"/>
    <w:rsid w:val="00E8436E"/>
    <w:rsid w:val="00E85F1B"/>
    <w:rsid w:val="00E866E5"/>
    <w:rsid w:val="00E86B2A"/>
    <w:rsid w:val="00E86FBF"/>
    <w:rsid w:val="00E90FA2"/>
    <w:rsid w:val="00E9182C"/>
    <w:rsid w:val="00E92C2C"/>
    <w:rsid w:val="00E93382"/>
    <w:rsid w:val="00E9358B"/>
    <w:rsid w:val="00E93A4D"/>
    <w:rsid w:val="00E96A14"/>
    <w:rsid w:val="00E96D23"/>
    <w:rsid w:val="00EA073F"/>
    <w:rsid w:val="00EA0923"/>
    <w:rsid w:val="00EA0F4B"/>
    <w:rsid w:val="00EA0F5E"/>
    <w:rsid w:val="00EA17D2"/>
    <w:rsid w:val="00EA2132"/>
    <w:rsid w:val="00EA288B"/>
    <w:rsid w:val="00EA3917"/>
    <w:rsid w:val="00EA633F"/>
    <w:rsid w:val="00EA719A"/>
    <w:rsid w:val="00EA747A"/>
    <w:rsid w:val="00EA7768"/>
    <w:rsid w:val="00EB00D5"/>
    <w:rsid w:val="00EB062A"/>
    <w:rsid w:val="00EB06F1"/>
    <w:rsid w:val="00EB14D1"/>
    <w:rsid w:val="00EB1782"/>
    <w:rsid w:val="00EB1BB6"/>
    <w:rsid w:val="00EB2AAC"/>
    <w:rsid w:val="00EB2DB9"/>
    <w:rsid w:val="00EB31FF"/>
    <w:rsid w:val="00EB3AA6"/>
    <w:rsid w:val="00EB72F7"/>
    <w:rsid w:val="00EB7E44"/>
    <w:rsid w:val="00EC01BB"/>
    <w:rsid w:val="00EC0E09"/>
    <w:rsid w:val="00EC0F80"/>
    <w:rsid w:val="00EC1982"/>
    <w:rsid w:val="00EC2076"/>
    <w:rsid w:val="00EC285A"/>
    <w:rsid w:val="00EC3905"/>
    <w:rsid w:val="00EC52BE"/>
    <w:rsid w:val="00EC5E25"/>
    <w:rsid w:val="00EC5E99"/>
    <w:rsid w:val="00EC6D4C"/>
    <w:rsid w:val="00EC778D"/>
    <w:rsid w:val="00EC7881"/>
    <w:rsid w:val="00EC7A4E"/>
    <w:rsid w:val="00EC7D86"/>
    <w:rsid w:val="00ED0EEB"/>
    <w:rsid w:val="00ED228B"/>
    <w:rsid w:val="00ED2CB4"/>
    <w:rsid w:val="00ED320E"/>
    <w:rsid w:val="00ED3D66"/>
    <w:rsid w:val="00ED556F"/>
    <w:rsid w:val="00ED5645"/>
    <w:rsid w:val="00ED6877"/>
    <w:rsid w:val="00ED7309"/>
    <w:rsid w:val="00ED7C98"/>
    <w:rsid w:val="00EE0945"/>
    <w:rsid w:val="00EE0D68"/>
    <w:rsid w:val="00EE1322"/>
    <w:rsid w:val="00EE1AE6"/>
    <w:rsid w:val="00EE232B"/>
    <w:rsid w:val="00EE36AD"/>
    <w:rsid w:val="00EE3989"/>
    <w:rsid w:val="00EE49E2"/>
    <w:rsid w:val="00EE4ACF"/>
    <w:rsid w:val="00EE5258"/>
    <w:rsid w:val="00EE5FEE"/>
    <w:rsid w:val="00EE6E15"/>
    <w:rsid w:val="00EE763F"/>
    <w:rsid w:val="00EE7E9C"/>
    <w:rsid w:val="00EF039D"/>
    <w:rsid w:val="00EF0A17"/>
    <w:rsid w:val="00EF1887"/>
    <w:rsid w:val="00EF1E68"/>
    <w:rsid w:val="00EF46E4"/>
    <w:rsid w:val="00EF5066"/>
    <w:rsid w:val="00EF525A"/>
    <w:rsid w:val="00EF5470"/>
    <w:rsid w:val="00EF586E"/>
    <w:rsid w:val="00EF68E2"/>
    <w:rsid w:val="00EF70C8"/>
    <w:rsid w:val="00F001B5"/>
    <w:rsid w:val="00F008F4"/>
    <w:rsid w:val="00F019C3"/>
    <w:rsid w:val="00F01D97"/>
    <w:rsid w:val="00F0281B"/>
    <w:rsid w:val="00F02E28"/>
    <w:rsid w:val="00F03D31"/>
    <w:rsid w:val="00F03EFB"/>
    <w:rsid w:val="00F058A9"/>
    <w:rsid w:val="00F0666C"/>
    <w:rsid w:val="00F07494"/>
    <w:rsid w:val="00F07587"/>
    <w:rsid w:val="00F07CB5"/>
    <w:rsid w:val="00F117BD"/>
    <w:rsid w:val="00F11B32"/>
    <w:rsid w:val="00F12145"/>
    <w:rsid w:val="00F127D1"/>
    <w:rsid w:val="00F1294A"/>
    <w:rsid w:val="00F141C8"/>
    <w:rsid w:val="00F14E46"/>
    <w:rsid w:val="00F15982"/>
    <w:rsid w:val="00F16946"/>
    <w:rsid w:val="00F176D2"/>
    <w:rsid w:val="00F17785"/>
    <w:rsid w:val="00F20CDE"/>
    <w:rsid w:val="00F20F67"/>
    <w:rsid w:val="00F21022"/>
    <w:rsid w:val="00F225A5"/>
    <w:rsid w:val="00F234B5"/>
    <w:rsid w:val="00F238B4"/>
    <w:rsid w:val="00F269DB"/>
    <w:rsid w:val="00F2732F"/>
    <w:rsid w:val="00F3112E"/>
    <w:rsid w:val="00F3505B"/>
    <w:rsid w:val="00F350CD"/>
    <w:rsid w:val="00F3559B"/>
    <w:rsid w:val="00F36C56"/>
    <w:rsid w:val="00F4121E"/>
    <w:rsid w:val="00F4131C"/>
    <w:rsid w:val="00F4257D"/>
    <w:rsid w:val="00F425C9"/>
    <w:rsid w:val="00F43E76"/>
    <w:rsid w:val="00F44538"/>
    <w:rsid w:val="00F4517F"/>
    <w:rsid w:val="00F4519D"/>
    <w:rsid w:val="00F47B1F"/>
    <w:rsid w:val="00F50C58"/>
    <w:rsid w:val="00F50EA6"/>
    <w:rsid w:val="00F5256B"/>
    <w:rsid w:val="00F534DE"/>
    <w:rsid w:val="00F53EDA"/>
    <w:rsid w:val="00F53FC7"/>
    <w:rsid w:val="00F54B68"/>
    <w:rsid w:val="00F61690"/>
    <w:rsid w:val="00F61CC7"/>
    <w:rsid w:val="00F628C5"/>
    <w:rsid w:val="00F62B20"/>
    <w:rsid w:val="00F64592"/>
    <w:rsid w:val="00F659C0"/>
    <w:rsid w:val="00F66943"/>
    <w:rsid w:val="00F70AAF"/>
    <w:rsid w:val="00F719C4"/>
    <w:rsid w:val="00F731CB"/>
    <w:rsid w:val="00F739E1"/>
    <w:rsid w:val="00F74223"/>
    <w:rsid w:val="00F76449"/>
    <w:rsid w:val="00F76F2E"/>
    <w:rsid w:val="00F76FAE"/>
    <w:rsid w:val="00F805B0"/>
    <w:rsid w:val="00F80822"/>
    <w:rsid w:val="00F82076"/>
    <w:rsid w:val="00F82869"/>
    <w:rsid w:val="00F828C5"/>
    <w:rsid w:val="00F83B8F"/>
    <w:rsid w:val="00F83D13"/>
    <w:rsid w:val="00F8579E"/>
    <w:rsid w:val="00F860D1"/>
    <w:rsid w:val="00F86ACF"/>
    <w:rsid w:val="00F873F8"/>
    <w:rsid w:val="00F9167E"/>
    <w:rsid w:val="00F91825"/>
    <w:rsid w:val="00F933E4"/>
    <w:rsid w:val="00F94790"/>
    <w:rsid w:val="00F94E27"/>
    <w:rsid w:val="00F97492"/>
    <w:rsid w:val="00F97ECB"/>
    <w:rsid w:val="00FA0165"/>
    <w:rsid w:val="00FA04A4"/>
    <w:rsid w:val="00FA0E12"/>
    <w:rsid w:val="00FA0E57"/>
    <w:rsid w:val="00FA2EFB"/>
    <w:rsid w:val="00FA37DF"/>
    <w:rsid w:val="00FA3DA4"/>
    <w:rsid w:val="00FA3FAF"/>
    <w:rsid w:val="00FA4DA2"/>
    <w:rsid w:val="00FA54BC"/>
    <w:rsid w:val="00FA79A3"/>
    <w:rsid w:val="00FB0E55"/>
    <w:rsid w:val="00FB1437"/>
    <w:rsid w:val="00FB33BC"/>
    <w:rsid w:val="00FB3A96"/>
    <w:rsid w:val="00FB3AB5"/>
    <w:rsid w:val="00FB3EF3"/>
    <w:rsid w:val="00FB65AF"/>
    <w:rsid w:val="00FB6B79"/>
    <w:rsid w:val="00FB7D04"/>
    <w:rsid w:val="00FC066F"/>
    <w:rsid w:val="00FC0ED9"/>
    <w:rsid w:val="00FC150C"/>
    <w:rsid w:val="00FC18E8"/>
    <w:rsid w:val="00FC3A4D"/>
    <w:rsid w:val="00FC4539"/>
    <w:rsid w:val="00FC4C61"/>
    <w:rsid w:val="00FC4DA4"/>
    <w:rsid w:val="00FC520D"/>
    <w:rsid w:val="00FC562A"/>
    <w:rsid w:val="00FC5FB5"/>
    <w:rsid w:val="00FC7466"/>
    <w:rsid w:val="00FC7563"/>
    <w:rsid w:val="00FD23EA"/>
    <w:rsid w:val="00FD27A2"/>
    <w:rsid w:val="00FD2A34"/>
    <w:rsid w:val="00FD3064"/>
    <w:rsid w:val="00FD40D3"/>
    <w:rsid w:val="00FD4531"/>
    <w:rsid w:val="00FD5C1D"/>
    <w:rsid w:val="00FD6191"/>
    <w:rsid w:val="00FD626F"/>
    <w:rsid w:val="00FE0120"/>
    <w:rsid w:val="00FE3B8A"/>
    <w:rsid w:val="00FE3EBD"/>
    <w:rsid w:val="00FE402E"/>
    <w:rsid w:val="00FE41BD"/>
    <w:rsid w:val="00FE4383"/>
    <w:rsid w:val="00FE4E2B"/>
    <w:rsid w:val="00FE5B11"/>
    <w:rsid w:val="00FE6AD6"/>
    <w:rsid w:val="00FE6F7D"/>
    <w:rsid w:val="00FE73D1"/>
    <w:rsid w:val="00FF0836"/>
    <w:rsid w:val="00FF4855"/>
    <w:rsid w:val="00FF4F24"/>
    <w:rsid w:val="00FF6297"/>
    <w:rsid w:val="00FF64D0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657D"/>
  <w15:docId w15:val="{A70EA294-F308-4DC8-BCF3-B00D2611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6115C"/>
    <w:pPr>
      <w:autoSpaceDE w:val="0"/>
      <w:autoSpaceDN w:val="0"/>
      <w:adjustRightInd w:val="0"/>
      <w:spacing w:after="0" w:line="240" w:lineRule="auto"/>
    </w:pPr>
    <w:rPr>
      <w:rFonts w:ascii="Minion Pro" w:eastAsia="MS Mincho" w:hAnsi="Minion Pro" w:cs="Minion Pro"/>
      <w:color w:val="000000"/>
      <w:sz w:val="24"/>
      <w:szCs w:val="24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rsid w:val="0096115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15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CommentReference">
    <w:name w:val="annotation reference"/>
    <w:uiPriority w:val="99"/>
    <w:semiHidden/>
    <w:rsid w:val="0096115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6115C"/>
    <w:pPr>
      <w:spacing w:after="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EndNoteBibliographyTitle">
    <w:name w:val="EndNote Bibliography Title"/>
    <w:basedOn w:val="Normal"/>
    <w:link w:val="EndNoteBibliographyTitleZchn"/>
    <w:rsid w:val="00873C0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873C0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873C0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873C0E"/>
    <w:rPr>
      <w:rFonts w:ascii="Calibri" w:hAnsi="Calibri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0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0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D9"/>
  </w:style>
  <w:style w:type="paragraph" w:styleId="Footer">
    <w:name w:val="footer"/>
    <w:basedOn w:val="Normal"/>
    <w:link w:val="FooterChar"/>
    <w:uiPriority w:val="99"/>
    <w:unhideWhenUsed/>
    <w:rsid w:val="0058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Charite Universitaetsmedizin Berlin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</dc:creator>
  <cp:lastModifiedBy>PLOS</cp:lastModifiedBy>
  <cp:revision>2</cp:revision>
  <dcterms:created xsi:type="dcterms:W3CDTF">2017-01-30T23:36:00Z</dcterms:created>
  <dcterms:modified xsi:type="dcterms:W3CDTF">2017-01-30T23:36:00Z</dcterms:modified>
</cp:coreProperties>
</file>