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B84EE" w14:textId="7B72396E" w:rsidR="006718BF" w:rsidRDefault="00606AE9" w:rsidP="006718BF">
      <w:pPr>
        <w:pStyle w:val="IUCrarticletitle"/>
      </w:pPr>
      <w:r>
        <w:t>The</w:t>
      </w:r>
      <w:r w:rsidR="006718BF">
        <w:t xml:space="preserve"> role o</w:t>
      </w:r>
      <w:r w:rsidR="003C1C87">
        <w:t xml:space="preserve">f </w:t>
      </w:r>
      <w:r>
        <w:t>carboxylate</w:t>
      </w:r>
      <w:r w:rsidR="006718BF">
        <w:t xml:space="preserve"> </w:t>
      </w:r>
      <w:r>
        <w:t xml:space="preserve">ligand </w:t>
      </w:r>
      <w:r w:rsidR="006718BF">
        <w:t>orbitals in the breathing dynamics of a metal-organic framework by resonant x-ray emission spectroscopy (RXES)</w:t>
      </w:r>
    </w:p>
    <w:p w14:paraId="7DB76304" w14:textId="77777777" w:rsidR="006718BF" w:rsidRDefault="006718BF" w:rsidP="006718BF">
      <w:pPr>
        <w:rPr>
          <w:rStyle w:val="IUCrsanstext"/>
          <w:szCs w:val="22"/>
        </w:rPr>
      </w:pPr>
      <w:r>
        <w:rPr>
          <w:rStyle w:val="IUCrsanstextgreysmall"/>
          <w:szCs w:val="22"/>
        </w:rPr>
        <w:fldChar w:fldCharType="begin"/>
      </w:r>
      <w:r>
        <w:rPr>
          <w:rStyle w:val="IUCrsanstextgreysmall"/>
          <w:szCs w:val="22"/>
        </w:rPr>
        <w:instrText xml:space="preserve"> MACROBUTTON IUCr_authors.IUCrA_editAuthors Authors </w:instrText>
      </w:r>
      <w:r>
        <w:rPr>
          <w:rStyle w:val="IUCrsanstextgreysmall"/>
          <w:szCs w:val="22"/>
        </w:rPr>
        <w:fldChar w:fldCharType="end"/>
      </w:r>
    </w:p>
    <w:p w14:paraId="7F5E985F" w14:textId="77777777" w:rsidR="006718BF" w:rsidRDefault="006718BF" w:rsidP="006718BF">
      <w:pPr>
        <w:spacing w:line="240" w:lineRule="auto"/>
        <w:rPr>
          <w:lang w:eastAsia="ja-JP"/>
        </w:rPr>
      </w:pPr>
      <w:r>
        <w:fldChar w:fldCharType="begin"/>
      </w:r>
      <w:r>
        <w:instrText>ADDIN IUCrAuthors</w:instrText>
      </w:r>
      <w:r>
        <w:fldChar w:fldCharType="separate"/>
      </w:r>
    </w:p>
    <w:p w14:paraId="6B086188" w14:textId="77777777" w:rsidR="006718BF" w:rsidRDefault="006718BF" w:rsidP="006718BF">
      <w:r>
        <w:rPr>
          <w:b/>
          <w:bCs/>
        </w:rPr>
        <w:t>Ralph Ugalino</w:t>
      </w:r>
      <w:r>
        <w:rPr>
          <w:b/>
          <w:bCs/>
          <w:vertAlign w:val="superscript"/>
        </w:rPr>
        <w:t>ab</w:t>
      </w:r>
      <w:r>
        <w:rPr>
          <w:b/>
          <w:bCs/>
        </w:rPr>
        <w:t>*, Kosuke Yamazoe</w:t>
      </w:r>
      <w:r>
        <w:rPr>
          <w:b/>
          <w:bCs/>
          <w:vertAlign w:val="superscript"/>
        </w:rPr>
        <w:t>b</w:t>
      </w:r>
      <w:r>
        <w:rPr>
          <w:b/>
          <w:bCs/>
        </w:rPr>
        <w:t>, Jun Miyawaki</w:t>
      </w:r>
      <w:r>
        <w:rPr>
          <w:b/>
          <w:bCs/>
          <w:vertAlign w:val="superscript"/>
        </w:rPr>
        <w:t>c</w:t>
      </w:r>
      <w:r>
        <w:rPr>
          <w:b/>
          <w:bCs/>
        </w:rPr>
        <w:t>, Hisao Kiuchi</w:t>
      </w:r>
      <w:r>
        <w:rPr>
          <w:b/>
          <w:bCs/>
          <w:vertAlign w:val="superscript"/>
        </w:rPr>
        <w:t>ab</w:t>
      </w:r>
      <w:r>
        <w:rPr>
          <w:b/>
          <w:bCs/>
        </w:rPr>
        <w:t>, Naoya Kurahashi</w:t>
      </w:r>
      <w:r>
        <w:rPr>
          <w:b/>
          <w:bCs/>
          <w:vertAlign w:val="superscript"/>
        </w:rPr>
        <w:t>b</w:t>
      </w:r>
      <w:r>
        <w:rPr>
          <w:b/>
          <w:bCs/>
        </w:rPr>
        <w:t>, Yuka Kosegawa</w:t>
      </w:r>
      <w:r>
        <w:rPr>
          <w:b/>
          <w:bCs/>
          <w:vertAlign w:val="superscript"/>
        </w:rPr>
        <w:t>b</w:t>
      </w:r>
      <w:r>
        <w:rPr>
          <w:b/>
          <w:bCs/>
        </w:rPr>
        <w:t xml:space="preserve"> and Yoshihisa Harada</w:t>
      </w:r>
      <w:r>
        <w:rPr>
          <w:b/>
          <w:bCs/>
          <w:vertAlign w:val="superscript"/>
        </w:rPr>
        <w:t>abd</w:t>
      </w:r>
      <w:r>
        <w:rPr>
          <w:b/>
          <w:bCs/>
        </w:rPr>
        <w:t>*</w:t>
      </w:r>
    </w:p>
    <w:p w14:paraId="3B928356" w14:textId="77777777" w:rsidR="006718BF" w:rsidRDefault="006718BF" w:rsidP="006718BF">
      <w:r>
        <w:rPr>
          <w:vertAlign w:val="superscript"/>
        </w:rPr>
        <w:t>a</w:t>
      </w:r>
      <w:r>
        <w:t>Department of Advanced Materials Science, Graduate School of Frontier Sciences, The University of Tokyo, Kashiwa, Chiba, 277-8561, Japan</w:t>
      </w:r>
      <w:r>
        <w:br/>
      </w:r>
      <w:r>
        <w:rPr>
          <w:vertAlign w:val="superscript"/>
        </w:rPr>
        <w:t>b</w:t>
      </w:r>
      <w:r>
        <w:t>Institute for Solid State Physics (ISSP), The University of Tokyo, Kashiwa, Chiba, 277-8561, Japan</w:t>
      </w:r>
      <w:r>
        <w:br/>
      </w:r>
      <w:r>
        <w:rPr>
          <w:vertAlign w:val="superscript"/>
        </w:rPr>
        <w:t>c</w:t>
      </w:r>
      <w:r>
        <w:t>Institute for Advanced Synchrotron Light Source, National Institutes for Quantum and Radiological Science and Technology (QST), Sendai, Miyagi, 980-8579, Japan</w:t>
      </w:r>
      <w:r>
        <w:br/>
      </w:r>
      <w:r>
        <w:rPr>
          <w:vertAlign w:val="superscript"/>
        </w:rPr>
        <w:t>d</w:t>
      </w:r>
      <w:r>
        <w:t>Synchrotron Radiation Collaborative Research Organization, The University of Tokyo, Sendai, Miyagi, 980-8572, Japan</w:t>
      </w:r>
      <w:r>
        <w:br/>
      </w:r>
    </w:p>
    <w:p w14:paraId="7EC5477D" w14:textId="77777777" w:rsidR="006718BF" w:rsidRDefault="006718BF" w:rsidP="006718BF">
      <w:r>
        <w:t>Correspondence email: ugalino@issp.u-tokyo.ac.jp; harada@issp.u-tokyo.ac.jp</w:t>
      </w:r>
    </w:p>
    <w:p w14:paraId="71549106" w14:textId="77777777" w:rsidR="006718BF" w:rsidRDefault="006718BF" w:rsidP="006718BF">
      <w:pPr>
        <w:pStyle w:val="IUCrbodytext"/>
        <w:rPr>
          <w:rStyle w:val="IUCrsanstext"/>
          <w:rFonts w:ascii="Times New Roman" w:hAnsi="Times New Roman"/>
          <w:sz w:val="22"/>
        </w:rPr>
      </w:pPr>
      <w:r>
        <w:fldChar w:fldCharType="end"/>
      </w:r>
    </w:p>
    <w:p w14:paraId="544C94E1" w14:textId="77777777" w:rsidR="006718BF" w:rsidRDefault="006718BF" w:rsidP="006718BF">
      <w:pPr>
        <w:pStyle w:val="IUCrbodytext"/>
      </w:pPr>
    </w:p>
    <w:p w14:paraId="18F865C4" w14:textId="677A6B90" w:rsidR="006718BF" w:rsidRDefault="006718BF" w:rsidP="006718BF">
      <w:pPr>
        <w:pStyle w:val="IUCrsynopsis"/>
        <w:numPr>
          <w:ilvl w:val="0"/>
          <w:numId w:val="42"/>
        </w:numPr>
        <w:textAlignment w:val="auto"/>
      </w:pPr>
      <w:r>
        <w:t>Orbital occupancy of the ligand carboxylate in-plane</w:t>
      </w:r>
      <w:r w:rsidR="006E65D8">
        <w:t xml:space="preserve"> lone pair</w:t>
      </w:r>
      <w:r>
        <w:t xml:space="preserve"> orbitals modulate</w:t>
      </w:r>
      <w:r w:rsidR="006E65D8">
        <w:t>s</w:t>
      </w:r>
      <w:r>
        <w:t xml:space="preserve"> the vibrational dynamics of certain breathing modes responsible for the structural phase transition of a </w:t>
      </w:r>
      <w:r w:rsidR="006E65D8">
        <w:t xml:space="preserve">carboxylate </w:t>
      </w:r>
      <w:r>
        <w:t xml:space="preserve">metal-organic framework.  </w:t>
      </w:r>
    </w:p>
    <w:p w14:paraId="0C64C482" w14:textId="18438533" w:rsidR="006718BF" w:rsidRDefault="006718BF" w:rsidP="006718BF">
      <w:pPr>
        <w:pStyle w:val="IUCrabstract"/>
        <w:numPr>
          <w:ilvl w:val="0"/>
          <w:numId w:val="43"/>
        </w:numPr>
        <w:textAlignment w:val="auto"/>
      </w:pPr>
      <w:r>
        <w:t>Metal-organic frameworks (MOFs) exhibit structural flexibility induced by temperature and guest adsorption, as demonstrated in the structural breathing transition in certain MOFs between narrow-pore and large-pore phases. Soft modes were suggested to</w:t>
      </w:r>
      <w:r w:rsidR="006E65D8">
        <w:t xml:space="preserve"> entropically</w:t>
      </w:r>
      <w:r>
        <w:t xml:space="preserve"> drive such pore breathing </w:t>
      </w:r>
      <w:r w:rsidR="006E65D8">
        <w:t>through</w:t>
      </w:r>
      <w:r>
        <w:t xml:space="preserve"> enhanced vibrational dynamics at high temperatures. In this work, oxygen </w:t>
      </w:r>
      <w:r>
        <w:rPr>
          <w:i/>
          <w:iCs/>
        </w:rPr>
        <w:t>K</w:t>
      </w:r>
      <w:r>
        <w:t xml:space="preserve"> edge resonant x-ray emission spectroscopy (RXES) </w:t>
      </w:r>
      <w:r w:rsidR="006E65D8">
        <w:t>for</w:t>
      </w:r>
      <w:r>
        <w:t xml:space="preserve"> the </w:t>
      </w:r>
      <w:r w:rsidR="00BE0FC4">
        <w:t>MIL-53(Al)</w:t>
      </w:r>
      <w:r>
        <w:t xml:space="preserve"> MOF</w:t>
      </w:r>
      <w:r w:rsidR="006E65D8">
        <w:t xml:space="preserve"> was performed to</w:t>
      </w:r>
      <w:r>
        <w:t xml:space="preserve"> selectively probe the electronic perturbation accompanying pore breathing dynamics at the ligand carboxylate site for metal-ligand interaction. It was observed that</w:t>
      </w:r>
      <w:r w:rsidR="006E65D8">
        <w:t xml:space="preserve"> the</w:t>
      </w:r>
      <w:r>
        <w:t xml:space="preserve"> temperature-induced vibrational dynamics involves switching occupancy between antisymmetric and symmetric configurations of </w:t>
      </w:r>
      <w:r w:rsidR="006E65D8">
        <w:t xml:space="preserve">the </w:t>
      </w:r>
      <w:r>
        <w:t>carboxylate oxygen lone pair orbitals, through which electron density around carboxylate oxygen sites</w:t>
      </w:r>
      <w:r w:rsidR="006E65D8">
        <w:t xml:space="preserve"> is</w:t>
      </w:r>
      <w:r>
        <w:t xml:space="preserve"> redistributed and metal-ligand interaction </w:t>
      </w:r>
      <w:r w:rsidR="006E65D8">
        <w:t>is</w:t>
      </w:r>
      <w:r>
        <w:t xml:space="preserve"> tuned. In turn, water adsorption involves</w:t>
      </w:r>
      <w:r w:rsidR="006E65D8">
        <w:t xml:space="preserve"> an additional</w:t>
      </w:r>
      <w:r>
        <w:t xml:space="preserve"> perturbation of π orbitals not observed in the structural change solely induced by temperature.</w:t>
      </w:r>
    </w:p>
    <w:p w14:paraId="10D35A77" w14:textId="77777777" w:rsidR="006718BF" w:rsidRDefault="006718BF" w:rsidP="006718BF">
      <w:pPr>
        <w:pStyle w:val="IUCrkeywords"/>
        <w:numPr>
          <w:ilvl w:val="0"/>
          <w:numId w:val="44"/>
        </w:numPr>
      </w:pPr>
      <w:r>
        <w:t xml:space="preserve">resonant x-ray emission spectroscopy; phase transition; metal-organic framework </w:t>
      </w:r>
    </w:p>
    <w:p w14:paraId="1742334B" w14:textId="77777777" w:rsidR="006718BF" w:rsidRDefault="006718BF" w:rsidP="006718BF">
      <w:pPr>
        <w:pStyle w:val="IUCrheading1"/>
        <w:numPr>
          <w:ilvl w:val="0"/>
          <w:numId w:val="45"/>
        </w:numPr>
        <w:textAlignment w:val="auto"/>
      </w:pPr>
      <w:r>
        <w:lastRenderedPageBreak/>
        <w:t xml:space="preserve">Introduction </w:t>
      </w:r>
    </w:p>
    <w:p w14:paraId="61B6703A" w14:textId="6EBBB1A9" w:rsidR="006718BF" w:rsidRDefault="00577B3F" w:rsidP="006718BF">
      <w:pPr>
        <w:pStyle w:val="IUCrbodytext"/>
        <w:jc w:val="both"/>
      </w:pPr>
      <w:r>
        <w:t>M</w:t>
      </w:r>
      <w:r w:rsidR="006718BF">
        <w:t xml:space="preserve">etal-organic frameworks (MOFs) are soft porous crystals with dynamic crystalline frameworks (Horike </w:t>
      </w:r>
      <w:r w:rsidR="006718BF">
        <w:rPr>
          <w:i/>
          <w:iCs/>
        </w:rPr>
        <w:t xml:space="preserve">et al., </w:t>
      </w:r>
      <w:r w:rsidR="006718BF">
        <w:t xml:space="preserve">2009 ; Coudert </w:t>
      </w:r>
      <w:r w:rsidR="006718BF">
        <w:rPr>
          <w:i/>
          <w:iCs/>
        </w:rPr>
        <w:t>et al.</w:t>
      </w:r>
      <w:r w:rsidR="006718BF">
        <w:t xml:space="preserve">, 2013) exhibiting reversible structural transformations in response to external stimuli. A noteworthy example is the breathing transition observed in the MIL-53 family of MOFs, a structural phase transition (Loiseau </w:t>
      </w:r>
      <w:r w:rsidR="006718BF">
        <w:rPr>
          <w:i/>
          <w:iCs/>
        </w:rPr>
        <w:t>et al.</w:t>
      </w:r>
      <w:r w:rsidR="006718BF">
        <w:t xml:space="preserve">, 2004 ; Liu </w:t>
      </w:r>
      <w:r w:rsidR="006718BF">
        <w:rPr>
          <w:i/>
          <w:iCs/>
        </w:rPr>
        <w:t>et al.</w:t>
      </w:r>
      <w:r w:rsidR="006718BF">
        <w:t xml:space="preserve">, 2008) between large-pore and narrow-pore forms which can be induced by temperature and guest adsorption. The MIL-53 structure (Fig. 1a) consists of octahedral aluminum oxo metal nodes, bridged through terephthalate or benzenedicarboxylate (BDC) ligands, and assembled into a characteristic wine-rack framework topology  (Loiseau </w:t>
      </w:r>
      <w:r w:rsidR="006718BF">
        <w:rPr>
          <w:i/>
          <w:iCs/>
        </w:rPr>
        <w:t>et al.</w:t>
      </w:r>
      <w:r w:rsidR="006718BF">
        <w:t xml:space="preserve">, 2004 ; Liu </w:t>
      </w:r>
      <w:r w:rsidR="006718BF">
        <w:rPr>
          <w:i/>
          <w:iCs/>
        </w:rPr>
        <w:t>et al.</w:t>
      </w:r>
      <w:r w:rsidR="006718BF">
        <w:t>, 2008). The carboxylate functionality, COO, is a defining feature of MOF structures, and its ability</w:t>
      </w:r>
      <w:r w:rsidR="00665604">
        <w:t xml:space="preserve"> to</w:t>
      </w:r>
      <w:r w:rsidR="006718BF">
        <w:t xml:space="preserve"> bridge metal sites (Fig. 1b) enables a variety of framework topologies (Fig. 1c) and holds the MOF structure in place.</w:t>
      </w:r>
    </w:p>
    <w:p w14:paraId="2EFC52D0" w14:textId="77777777" w:rsidR="006718BF" w:rsidRDefault="006718BF" w:rsidP="006718BF">
      <w:pPr>
        <w:pStyle w:val="IUCrbodytext"/>
        <w:jc w:val="both"/>
      </w:pPr>
    </w:p>
    <w:p w14:paraId="2101C510" w14:textId="4E027B39" w:rsidR="006718BF" w:rsidRDefault="000467F4" w:rsidP="006718BF">
      <w:pPr>
        <w:pStyle w:val="IUCrbodytext"/>
        <w:jc w:val="center"/>
      </w:pPr>
      <w:r>
        <w:rPr>
          <w:noProof/>
        </w:rPr>
        <w:drawing>
          <wp:inline distT="0" distB="0" distL="0" distR="0" wp14:anchorId="503E2467" wp14:editId="4957B82B">
            <wp:extent cx="5731510" cy="4137660"/>
            <wp:effectExtent l="0" t="0" r="2540" b="0"/>
            <wp:docPr id="4735535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553567" name=""/>
                    <pic:cNvPicPr/>
                  </pic:nvPicPr>
                  <pic:blipFill>
                    <a:blip r:embed="rId9"/>
                    <a:stretch>
                      <a:fillRect/>
                    </a:stretch>
                  </pic:blipFill>
                  <pic:spPr>
                    <a:xfrm>
                      <a:off x="0" y="0"/>
                      <a:ext cx="5731510" cy="4137660"/>
                    </a:xfrm>
                    <a:prstGeom prst="rect">
                      <a:avLst/>
                    </a:prstGeom>
                  </pic:spPr>
                </pic:pic>
              </a:graphicData>
            </a:graphic>
          </wp:inline>
        </w:drawing>
      </w:r>
    </w:p>
    <w:p w14:paraId="5BF1C5EF" w14:textId="0C41A896" w:rsidR="006718BF" w:rsidRDefault="006718BF" w:rsidP="00252B2D">
      <w:pPr>
        <w:pStyle w:val="IUCrfigurecaption"/>
        <w:jc w:val="both"/>
      </w:pPr>
      <w:r>
        <w:t>Structural building units (</w:t>
      </w:r>
      <w:r>
        <w:rPr>
          <w:i/>
          <w:iCs/>
        </w:rPr>
        <w:t>a</w:t>
      </w:r>
      <w:r>
        <w:t>) of the target MIL-53</w:t>
      </w:r>
      <w:r w:rsidR="00BE0FC4">
        <w:t>(Al)</w:t>
      </w:r>
      <w:r>
        <w:t xml:space="preserve"> metal-organic framework (MOF): the benzenedicarboxylate (BDC) linker and the octahedral aluminum-oxo metal node (</w:t>
      </w:r>
      <w:r>
        <w:rPr>
          <w:i/>
          <w:iCs/>
        </w:rPr>
        <w:t>inset</w:t>
      </w:r>
      <w:r>
        <w:t>). Coordination geometry (</w:t>
      </w:r>
      <w:r>
        <w:rPr>
          <w:i/>
          <w:iCs/>
        </w:rPr>
        <w:t>b</w:t>
      </w:r>
      <w:r>
        <w:t xml:space="preserve">)  where the ligand carboxylate group (COO) bridges adjacent metal </w:t>
      </w:r>
      <w:r>
        <w:rPr>
          <w:lang w:val="en-US"/>
        </w:rPr>
        <w:t>centers</w:t>
      </w:r>
      <w:r>
        <w:t>. Crystal structure</w:t>
      </w:r>
      <w:r w:rsidR="00665604">
        <w:t>s</w:t>
      </w:r>
      <w:r>
        <w:t xml:space="preserve"> (</w:t>
      </w:r>
      <w:r>
        <w:rPr>
          <w:i/>
          <w:iCs/>
        </w:rPr>
        <w:t>c</w:t>
      </w:r>
      <w:r>
        <w:t xml:space="preserve">) of the narrow-pore, </w:t>
      </w:r>
      <w:r>
        <w:rPr>
          <w:b/>
          <w:bCs/>
        </w:rPr>
        <w:t>np</w:t>
      </w:r>
      <w:r>
        <w:t xml:space="preserve">, and the large-pore, </w:t>
      </w:r>
      <w:r>
        <w:rPr>
          <w:b/>
          <w:bCs/>
        </w:rPr>
        <w:t>lp</w:t>
      </w:r>
      <w:r>
        <w:t xml:space="preserve">, forms of a MIL-53 MOF.     </w:t>
      </w:r>
    </w:p>
    <w:p w14:paraId="65435AD5" w14:textId="77777777" w:rsidR="006718BF" w:rsidRDefault="006718BF" w:rsidP="006718BF">
      <w:pPr>
        <w:pStyle w:val="IUCrbodytext"/>
        <w:jc w:val="both"/>
        <w:rPr>
          <w:rFonts w:eastAsiaTheme="minorEastAsia"/>
          <w:lang w:eastAsia="ja-JP"/>
        </w:rPr>
      </w:pPr>
    </w:p>
    <w:p w14:paraId="640084A1" w14:textId="21706B32" w:rsidR="006718BF" w:rsidRDefault="006718BF" w:rsidP="006718BF">
      <w:pPr>
        <w:pStyle w:val="IUCrbodytext"/>
        <w:jc w:val="both"/>
      </w:pPr>
      <w:r>
        <w:rPr>
          <w:rFonts w:eastAsiaTheme="minorEastAsia"/>
          <w:lang w:eastAsia="ja-JP"/>
        </w:rPr>
        <w:lastRenderedPageBreak/>
        <w:t xml:space="preserve">Free energy calculations (Walker </w:t>
      </w:r>
      <w:r>
        <w:rPr>
          <w:rFonts w:eastAsiaTheme="minorEastAsia"/>
          <w:i/>
          <w:iCs/>
          <w:lang w:eastAsia="ja-JP"/>
        </w:rPr>
        <w:t>et al</w:t>
      </w:r>
      <w:r>
        <w:rPr>
          <w:rFonts w:eastAsiaTheme="minorEastAsia"/>
          <w:lang w:eastAsia="ja-JP"/>
        </w:rPr>
        <w:t xml:space="preserve">., 2010 ; Wieme </w:t>
      </w:r>
      <w:r>
        <w:rPr>
          <w:rFonts w:eastAsiaTheme="minorEastAsia"/>
          <w:i/>
          <w:iCs/>
          <w:lang w:eastAsia="ja-JP"/>
        </w:rPr>
        <w:t>et al.</w:t>
      </w:r>
      <w:r>
        <w:rPr>
          <w:rFonts w:eastAsiaTheme="minorEastAsia"/>
          <w:lang w:eastAsia="ja-JP"/>
        </w:rPr>
        <w:t>, 2018) suggested that the thermodynamic stability of narrow-pore and large-pore phases of a MIL-53 MOF depends on the interplay between long-range dispersion interactions and vibrational entropy. The narrow-pore phase</w:t>
      </w:r>
      <w:r w:rsidR="00A95D9A">
        <w:rPr>
          <w:rFonts w:eastAsiaTheme="minorEastAsia"/>
          <w:lang w:eastAsia="ja-JP"/>
        </w:rPr>
        <w:t xml:space="preserve"> (Fig. 1c)</w:t>
      </w:r>
      <w:r>
        <w:rPr>
          <w:rFonts w:eastAsiaTheme="minorEastAsia"/>
          <w:lang w:eastAsia="ja-JP"/>
        </w:rPr>
        <w:t xml:space="preserve">, observed at low temperature, is stabilized by </w:t>
      </w:r>
      <w:r>
        <w:t>ππ stacking interactions between the</w:t>
      </w:r>
      <w:r w:rsidR="00665604">
        <w:t xml:space="preserve"> ligand</w:t>
      </w:r>
      <w:r>
        <w:t xml:space="preserve"> aromatic moieties that tend to favor pore collapse </w:t>
      </w:r>
      <w:r>
        <w:rPr>
          <w:rFonts w:eastAsiaTheme="minorEastAsia"/>
          <w:lang w:eastAsia="ja-JP"/>
        </w:rPr>
        <w:t xml:space="preserve">(Walker </w:t>
      </w:r>
      <w:r>
        <w:rPr>
          <w:rFonts w:eastAsiaTheme="minorEastAsia"/>
          <w:i/>
          <w:iCs/>
          <w:lang w:eastAsia="ja-JP"/>
        </w:rPr>
        <w:t>et al</w:t>
      </w:r>
      <w:r>
        <w:rPr>
          <w:rFonts w:eastAsiaTheme="minorEastAsia"/>
          <w:lang w:eastAsia="ja-JP"/>
        </w:rPr>
        <w:t xml:space="preserve">., 2010 ; Wieme </w:t>
      </w:r>
      <w:r>
        <w:rPr>
          <w:rFonts w:eastAsiaTheme="minorEastAsia"/>
          <w:i/>
          <w:iCs/>
          <w:lang w:eastAsia="ja-JP"/>
        </w:rPr>
        <w:t>et al.</w:t>
      </w:r>
      <w:r>
        <w:rPr>
          <w:rFonts w:eastAsiaTheme="minorEastAsia"/>
          <w:lang w:eastAsia="ja-JP"/>
        </w:rPr>
        <w:t xml:space="preserve">, 2018 ; Grinnell </w:t>
      </w:r>
      <w:r>
        <w:rPr>
          <w:rFonts w:eastAsiaTheme="minorEastAsia"/>
          <w:i/>
          <w:iCs/>
          <w:lang w:eastAsia="ja-JP"/>
        </w:rPr>
        <w:t>et al</w:t>
      </w:r>
      <w:r>
        <w:rPr>
          <w:rFonts w:eastAsiaTheme="minorEastAsia"/>
          <w:lang w:eastAsia="ja-JP"/>
        </w:rPr>
        <w:t>., 2018). In turn, the large-pore phase</w:t>
      </w:r>
      <w:r w:rsidR="00A95D9A">
        <w:rPr>
          <w:rFonts w:eastAsiaTheme="minorEastAsia"/>
          <w:lang w:eastAsia="ja-JP"/>
        </w:rPr>
        <w:t xml:space="preserve"> (Fig. 1c)</w:t>
      </w:r>
      <w:r>
        <w:rPr>
          <w:rFonts w:eastAsiaTheme="minorEastAsia"/>
          <w:lang w:eastAsia="ja-JP"/>
        </w:rPr>
        <w:t xml:space="preserve">, observed at high temperature, is stabilized by vibrational entropy arising from enhanced ligand vibrational dynamics afforded with the larger pore volume (Walker </w:t>
      </w:r>
      <w:r>
        <w:rPr>
          <w:rFonts w:eastAsiaTheme="minorEastAsia"/>
          <w:i/>
          <w:iCs/>
          <w:lang w:eastAsia="ja-JP"/>
        </w:rPr>
        <w:t>et al</w:t>
      </w:r>
      <w:r>
        <w:rPr>
          <w:rFonts w:eastAsiaTheme="minorEastAsia"/>
          <w:lang w:eastAsia="ja-JP"/>
        </w:rPr>
        <w:t xml:space="preserve">., 2010 ; Wieme </w:t>
      </w:r>
      <w:r>
        <w:rPr>
          <w:rFonts w:eastAsiaTheme="minorEastAsia"/>
          <w:i/>
          <w:iCs/>
          <w:lang w:eastAsia="ja-JP"/>
        </w:rPr>
        <w:t>et al.</w:t>
      </w:r>
      <w:r>
        <w:rPr>
          <w:rFonts w:eastAsiaTheme="minorEastAsia"/>
          <w:lang w:eastAsia="ja-JP"/>
        </w:rPr>
        <w:t>, 2018). Previous work (</w:t>
      </w:r>
      <w:r>
        <w:t xml:space="preserve">Liu </w:t>
      </w:r>
      <w:r>
        <w:rPr>
          <w:i/>
          <w:iCs/>
        </w:rPr>
        <w:t>et al.</w:t>
      </w:r>
      <w:r>
        <w:t xml:space="preserve">, 2008 ; </w:t>
      </w:r>
      <w:r w:rsidR="00B96439">
        <w:t xml:space="preserve">Salazar </w:t>
      </w:r>
      <w:r w:rsidR="00B96439">
        <w:rPr>
          <w:i/>
          <w:iCs/>
        </w:rPr>
        <w:t>et al</w:t>
      </w:r>
      <w:r w:rsidR="00B96439">
        <w:t xml:space="preserve">., 2015 ; </w:t>
      </w:r>
      <w:r>
        <w:t xml:space="preserve">Hoffmann </w:t>
      </w:r>
      <w:r>
        <w:rPr>
          <w:i/>
          <w:iCs/>
        </w:rPr>
        <w:t>et al.</w:t>
      </w:r>
      <w:r>
        <w:t>, 2018</w:t>
      </w:r>
      <w:r>
        <w:rPr>
          <w:rFonts w:eastAsiaTheme="minorEastAsia"/>
          <w:lang w:eastAsia="ja-JP"/>
        </w:rPr>
        <w:t>) showed that pore collapse at low temperatures was accompanied by a decrease in vibrational energy, or softening, of certain vibrational modes such as carboxylate asymmetric stretch</w:t>
      </w:r>
      <w:r w:rsidR="00665604">
        <w:rPr>
          <w:rFonts w:eastAsiaTheme="minorEastAsia"/>
          <w:lang w:eastAsia="ja-JP"/>
        </w:rPr>
        <w:t>ing</w:t>
      </w:r>
      <w:r>
        <w:rPr>
          <w:rFonts w:eastAsiaTheme="minorEastAsia"/>
          <w:lang w:eastAsia="ja-JP"/>
        </w:rPr>
        <w:t xml:space="preserve"> (</w:t>
      </w:r>
      <w:r w:rsidR="001B5C91">
        <w:t xml:space="preserve">Salazar </w:t>
      </w:r>
      <w:r w:rsidR="001B5C91">
        <w:rPr>
          <w:i/>
          <w:iCs/>
        </w:rPr>
        <w:t>et al</w:t>
      </w:r>
      <w:r w:rsidR="001B5C91">
        <w:t xml:space="preserve">., 2015 ; </w:t>
      </w:r>
      <w:r>
        <w:t xml:space="preserve">Hoffmann </w:t>
      </w:r>
      <w:r>
        <w:rPr>
          <w:i/>
          <w:iCs/>
        </w:rPr>
        <w:t>et al.</w:t>
      </w:r>
      <w:r>
        <w:t xml:space="preserve">, 2018 </w:t>
      </w:r>
      <w:r>
        <w:rPr>
          <w:rFonts w:eastAsiaTheme="minorEastAsia"/>
          <w:lang w:eastAsia="ja-JP"/>
        </w:rPr>
        <w:t>), benzene ring libration, and linker twisting (</w:t>
      </w:r>
      <w:r>
        <w:t xml:space="preserve">Liu </w:t>
      </w:r>
      <w:r>
        <w:rPr>
          <w:i/>
          <w:iCs/>
        </w:rPr>
        <w:t>et al.</w:t>
      </w:r>
      <w:r>
        <w:t>, 2008)</w:t>
      </w:r>
      <w:r w:rsidR="00665604">
        <w:t xml:space="preserve"> modes</w:t>
      </w:r>
      <w:r>
        <w:t xml:space="preserve">. Enhancing the vibrational dynamics of these soft modes was </w:t>
      </w:r>
      <w:r w:rsidR="00665604">
        <w:t>proposed</w:t>
      </w:r>
      <w:r>
        <w:t xml:space="preserve"> to drive pore breathing into large-pore phases at higher temperatures (Liu </w:t>
      </w:r>
      <w:r>
        <w:rPr>
          <w:i/>
          <w:iCs/>
        </w:rPr>
        <w:t>et al.</w:t>
      </w:r>
      <w:r>
        <w:t xml:space="preserve">, 2008 ; Walker </w:t>
      </w:r>
      <w:r>
        <w:rPr>
          <w:i/>
          <w:iCs/>
        </w:rPr>
        <w:t>et al</w:t>
      </w:r>
      <w:r>
        <w:t>., 2010 ;</w:t>
      </w:r>
      <w:r w:rsidR="001B5C91">
        <w:t xml:space="preserve"> Bersuker, 2013 ;</w:t>
      </w:r>
      <w:r>
        <w:t xml:space="preserve"> </w:t>
      </w:r>
      <w:r w:rsidR="001B5C91">
        <w:t xml:space="preserve">Salazar </w:t>
      </w:r>
      <w:r w:rsidR="001B5C91">
        <w:rPr>
          <w:i/>
          <w:iCs/>
        </w:rPr>
        <w:t>et al.</w:t>
      </w:r>
      <w:r w:rsidR="001B5C91">
        <w:t xml:space="preserve">, 2015 ; </w:t>
      </w:r>
      <w:r>
        <w:t xml:space="preserve">Wieme </w:t>
      </w:r>
      <w:r>
        <w:rPr>
          <w:i/>
          <w:iCs/>
        </w:rPr>
        <w:t>et al.</w:t>
      </w:r>
      <w:r>
        <w:t xml:space="preserve">, 2018 ; Hoffmann </w:t>
      </w:r>
      <w:r>
        <w:rPr>
          <w:i/>
          <w:iCs/>
        </w:rPr>
        <w:t>et al.</w:t>
      </w:r>
      <w:r>
        <w:t>, 2018 ;  Bersuker, 2021). The apparent universality of such mode softening, especially for the carboxylate stretching modes, was observed across carboxylate-</w:t>
      </w:r>
      <w:r w:rsidR="000337ED">
        <w:rPr>
          <w:rFonts w:ascii="ＭＳ 明朝" w:eastAsia="ＭＳ 明朝" w:hAnsi="ＭＳ 明朝" w:cs="ＭＳ 明朝" w:hint="eastAsia"/>
          <w:lang w:eastAsia="ja-JP"/>
        </w:rPr>
        <w:t xml:space="preserve">　</w:t>
      </w:r>
      <w:r>
        <w:t xml:space="preserve">based MOFs (Andreeva </w:t>
      </w:r>
      <w:r>
        <w:rPr>
          <w:i/>
          <w:iCs/>
        </w:rPr>
        <w:t>et al</w:t>
      </w:r>
      <w:r>
        <w:t xml:space="preserve">., 2020) as an indirect measure of the strength of MOF metal-ligand interaction. Moreover, it was also suggested how guest adsorption could stabilize </w:t>
      </w:r>
      <w:r w:rsidR="00665604">
        <w:t xml:space="preserve">the </w:t>
      </w:r>
      <w:r>
        <w:t xml:space="preserve">narrow-pore over </w:t>
      </w:r>
      <w:r w:rsidR="00665604">
        <w:t xml:space="preserve">the </w:t>
      </w:r>
      <w:r>
        <w:t>large-pore</w:t>
      </w:r>
      <w:r w:rsidR="00665604">
        <w:t xml:space="preserve"> phase</w:t>
      </w:r>
      <w:r>
        <w:t xml:space="preserve"> </w:t>
      </w:r>
      <w:r w:rsidR="00665604">
        <w:t>via</w:t>
      </w:r>
      <w:r>
        <w:t xml:space="preserve"> the adsorption interaction (Coudert </w:t>
      </w:r>
      <w:r>
        <w:rPr>
          <w:i/>
          <w:iCs/>
        </w:rPr>
        <w:t>et al</w:t>
      </w:r>
      <w:r>
        <w:t xml:space="preserve">., 2008 ; Coudert </w:t>
      </w:r>
      <w:r>
        <w:rPr>
          <w:i/>
          <w:iCs/>
        </w:rPr>
        <w:t>et al</w:t>
      </w:r>
      <w:r>
        <w:t>., 2014).</w:t>
      </w:r>
      <w:r w:rsidR="000337ED">
        <w:t xml:space="preserve"> However, there </w:t>
      </w:r>
      <w:r w:rsidR="008E6AF7">
        <w:t>are aspects of structural transitions in MOFs</w:t>
      </w:r>
      <w:r w:rsidR="003C6225">
        <w:t xml:space="preserve"> </w:t>
      </w:r>
      <w:r w:rsidR="00073161">
        <w:t>th</w:t>
      </w:r>
      <w:r w:rsidR="003C6225">
        <w:t>at remain unresolved solely on thermodynamic grounds.</w:t>
      </w:r>
      <w:r w:rsidR="0009284F">
        <w:t xml:space="preserve"> </w:t>
      </w:r>
      <w:r w:rsidR="003C6225">
        <w:t>These include</w:t>
      </w:r>
      <w:r w:rsidR="00F72065">
        <w:t xml:space="preserve"> the onset of </w:t>
      </w:r>
      <w:r w:rsidR="003C6225">
        <w:t>ligand defect site formation in UiO-66 MOFs (</w:t>
      </w:r>
      <w:r w:rsidR="00F72065">
        <w:t xml:space="preserve">Shearer </w:t>
      </w:r>
      <w:r w:rsidR="00F72065">
        <w:rPr>
          <w:i/>
          <w:iCs/>
        </w:rPr>
        <w:t>et al</w:t>
      </w:r>
      <w:r w:rsidR="00F72065">
        <w:t>., 2014</w:t>
      </w:r>
      <w:r w:rsidR="003C6225">
        <w:t>)</w:t>
      </w:r>
      <w:r w:rsidR="00F72065">
        <w:t>,</w:t>
      </w:r>
      <w:r w:rsidR="0009284F">
        <w:t xml:space="preserve"> </w:t>
      </w:r>
      <w:r w:rsidR="00F72065">
        <w:t xml:space="preserve">and </w:t>
      </w:r>
      <w:r w:rsidR="0009284F">
        <w:t>of interpenetration in MOFs with very large ligands</w:t>
      </w:r>
      <w:r w:rsidR="006D4621">
        <w:t xml:space="preserve"> (Bara </w:t>
      </w:r>
      <w:r w:rsidR="006D4621">
        <w:rPr>
          <w:i/>
          <w:iCs/>
        </w:rPr>
        <w:t>et al</w:t>
      </w:r>
      <w:r w:rsidR="006D4621">
        <w:t>., 2019),</w:t>
      </w:r>
      <w:r w:rsidR="00F72065">
        <w:t xml:space="preserve"> </w:t>
      </w:r>
      <w:r w:rsidR="004224D3">
        <w:t xml:space="preserve">which </w:t>
      </w:r>
      <w:r w:rsidR="00F72065">
        <w:t>become</w:t>
      </w:r>
      <w:r w:rsidR="006D4621">
        <w:t xml:space="preserve"> </w:t>
      </w:r>
      <w:r w:rsidR="00F72065">
        <w:t>favored</w:t>
      </w:r>
      <w:r w:rsidR="004224D3">
        <w:t>, instead of pore collapse, at low temperatures</w:t>
      </w:r>
      <w:r w:rsidR="008E6AF7">
        <w:t>.</w:t>
      </w:r>
      <w:r w:rsidR="0009284F">
        <w:t xml:space="preserve"> Within just the MIL-53 family of MOFs, despite sharing an identical framework topology, changing the metal center, say from Al to</w:t>
      </w:r>
      <w:r w:rsidR="000650B0">
        <w:t xml:space="preserve"> Fe or Ga</w:t>
      </w:r>
      <w:r w:rsidR="00EB69F5">
        <w:t xml:space="preserve"> (</w:t>
      </w:r>
      <w:r w:rsidR="000650B0">
        <w:t xml:space="preserve">Volkringer </w:t>
      </w:r>
      <w:r w:rsidR="000650B0">
        <w:rPr>
          <w:i/>
          <w:iCs/>
        </w:rPr>
        <w:t>et al</w:t>
      </w:r>
      <w:r w:rsidR="000650B0">
        <w:t>., 2009</w:t>
      </w:r>
      <w:r w:rsidR="00EB69F5">
        <w:t>)</w:t>
      </w:r>
      <w:r w:rsidR="0009284F">
        <w:t>,</w:t>
      </w:r>
      <w:r w:rsidR="00AE58D7">
        <w:t xml:space="preserve"> </w:t>
      </w:r>
      <w:r w:rsidR="0009284F">
        <w:t>shifts the breathing transition temperature by large jum</w:t>
      </w:r>
      <w:r w:rsidR="009F1D98">
        <w:t>p</w:t>
      </w:r>
      <w:r w:rsidR="0009284F">
        <w:t>s which cannot be accounted</w:t>
      </w:r>
      <w:r w:rsidR="00EB69F5">
        <w:t xml:space="preserve"> for</w:t>
      </w:r>
      <w:r w:rsidR="0009284F">
        <w:t xml:space="preserve"> solely by </w:t>
      </w:r>
      <w:r w:rsidR="00EB69F5">
        <w:t>ion size</w:t>
      </w:r>
      <w:r w:rsidR="0009284F">
        <w:t xml:space="preserve"> effects</w:t>
      </w:r>
      <w:r w:rsidR="00EB69F5">
        <w:t xml:space="preserve">, and the role of metal-ligand orbital interaction </w:t>
      </w:r>
      <w:r w:rsidR="00AE58D7">
        <w:t>appears to be significant</w:t>
      </w:r>
      <w:r w:rsidR="00EB69F5">
        <w:t>.</w:t>
      </w:r>
      <w:r w:rsidR="0009284F">
        <w:t xml:space="preserve"> </w:t>
      </w:r>
      <w:r>
        <w:t xml:space="preserve">Understanding the interplay of temperature and guest adsorption </w:t>
      </w:r>
      <w:r w:rsidR="00665604">
        <w:t>for</w:t>
      </w:r>
      <w:r>
        <w:t xml:space="preserve"> structural changes in MOFs</w:t>
      </w:r>
      <w:r w:rsidR="00EB69F5">
        <w:t>, including the contribution of metal-ligand orbital interaction,</w:t>
      </w:r>
      <w:r>
        <w:t xml:space="preserve"> is key to designing nanoporous materials with stimuli-responsive phase transitions exhibiting practical reversibility for real-time applications.</w:t>
      </w:r>
    </w:p>
    <w:p w14:paraId="02ECF9DF" w14:textId="77777777" w:rsidR="006718BF" w:rsidRDefault="006718BF" w:rsidP="006718BF">
      <w:pPr>
        <w:pStyle w:val="IUCrbodytext"/>
        <w:jc w:val="both"/>
      </w:pPr>
    </w:p>
    <w:p w14:paraId="58D763FD" w14:textId="629DC742" w:rsidR="006718BF" w:rsidRPr="00252B2D" w:rsidRDefault="006718BF" w:rsidP="00252B2D">
      <w:pPr>
        <w:pStyle w:val="IUCrbodytext"/>
        <w:jc w:val="both"/>
        <w:rPr>
          <w:rFonts w:eastAsiaTheme="minorEastAsia"/>
          <w:lang w:eastAsia="ja-JP"/>
        </w:rPr>
      </w:pPr>
      <w:r>
        <w:rPr>
          <w:rFonts w:eastAsiaTheme="minorEastAsia"/>
          <w:lang w:eastAsia="ja-JP"/>
        </w:rPr>
        <w:t xml:space="preserve">Resonant x-ray emission spectroscopy (RXES) is an emerging method for probing valence electronic states of small molecules (Tokushima </w:t>
      </w:r>
      <w:r>
        <w:rPr>
          <w:rFonts w:eastAsiaTheme="minorEastAsia"/>
          <w:i/>
          <w:iCs/>
          <w:lang w:eastAsia="ja-JP"/>
        </w:rPr>
        <w:t>et al</w:t>
      </w:r>
      <w:r>
        <w:rPr>
          <w:rFonts w:eastAsiaTheme="minorEastAsia"/>
          <w:lang w:eastAsia="ja-JP"/>
        </w:rPr>
        <w:t xml:space="preserve">., 2009 ; Horikawa </w:t>
      </w:r>
      <w:r>
        <w:rPr>
          <w:rFonts w:eastAsiaTheme="minorEastAsia"/>
          <w:i/>
          <w:iCs/>
          <w:lang w:eastAsia="ja-JP"/>
        </w:rPr>
        <w:t>et al</w:t>
      </w:r>
      <w:r>
        <w:rPr>
          <w:rFonts w:eastAsiaTheme="minorEastAsia"/>
          <w:lang w:eastAsia="ja-JP"/>
        </w:rPr>
        <w:t xml:space="preserve">., 2009 ; Meyer </w:t>
      </w:r>
      <w:r>
        <w:rPr>
          <w:rFonts w:eastAsiaTheme="minorEastAsia"/>
          <w:i/>
          <w:iCs/>
          <w:lang w:eastAsia="ja-JP"/>
        </w:rPr>
        <w:t>et al</w:t>
      </w:r>
      <w:r>
        <w:rPr>
          <w:rFonts w:eastAsiaTheme="minorEastAsia"/>
          <w:lang w:eastAsia="ja-JP"/>
        </w:rPr>
        <w:t xml:space="preserve">., 2014 ; Eckert </w:t>
      </w:r>
      <w:r>
        <w:rPr>
          <w:rFonts w:eastAsiaTheme="minorEastAsia"/>
          <w:i/>
          <w:iCs/>
          <w:lang w:eastAsia="ja-JP"/>
        </w:rPr>
        <w:t>et al</w:t>
      </w:r>
      <w:r>
        <w:rPr>
          <w:rFonts w:eastAsiaTheme="minorEastAsia"/>
          <w:lang w:eastAsia="ja-JP"/>
        </w:rPr>
        <w:t xml:space="preserve">., 2022) with element and symmetry selectivity. While </w:t>
      </w:r>
      <w:r w:rsidR="00B1101C">
        <w:rPr>
          <w:rFonts w:eastAsiaTheme="minorEastAsia"/>
          <w:lang w:eastAsia="ja-JP"/>
        </w:rPr>
        <w:t xml:space="preserve">nonresonant </w:t>
      </w:r>
      <w:r>
        <w:rPr>
          <w:rFonts w:eastAsiaTheme="minorEastAsia"/>
          <w:lang w:eastAsia="ja-JP"/>
        </w:rPr>
        <w:t>x-ray emission spectroscopy (XES) probes the entire manifold of occupied orbitals, resonant excitation under RXES imposes symmetry restrictions such that only a few select</w:t>
      </w:r>
      <w:r w:rsidR="00B96439">
        <w:rPr>
          <w:rFonts w:eastAsiaTheme="minorEastAsia"/>
          <w:lang w:eastAsia="ja-JP"/>
        </w:rPr>
        <w:t>ed</w:t>
      </w:r>
      <w:r>
        <w:rPr>
          <w:rFonts w:eastAsiaTheme="minorEastAsia"/>
          <w:lang w:eastAsia="ja-JP"/>
        </w:rPr>
        <w:t xml:space="preserve"> occupied orbitals are observed in the spectra. In particular, the symmetry of the unoccupied orbital accessed during resonant excitation determines whether certain emission channels will be allowed or forbidden (</w:t>
      </w:r>
      <w:r w:rsidR="00761EA2">
        <w:rPr>
          <w:rFonts w:eastAsiaTheme="minorEastAsia"/>
          <w:lang w:eastAsia="ja-JP"/>
        </w:rPr>
        <w:t xml:space="preserve">Monson </w:t>
      </w:r>
      <w:r w:rsidR="00761EA2">
        <w:rPr>
          <w:rFonts w:eastAsiaTheme="minorEastAsia"/>
          <w:i/>
          <w:iCs/>
          <w:lang w:eastAsia="ja-JP"/>
        </w:rPr>
        <w:t>et al.</w:t>
      </w:r>
      <w:r w:rsidR="00761EA2">
        <w:rPr>
          <w:rFonts w:eastAsiaTheme="minorEastAsia"/>
          <w:lang w:eastAsia="ja-JP"/>
        </w:rPr>
        <w:t xml:space="preserve">, 1970 ; Gelmukhanov </w:t>
      </w:r>
      <w:r w:rsidR="00761EA2">
        <w:rPr>
          <w:rFonts w:eastAsiaTheme="minorEastAsia"/>
          <w:i/>
          <w:iCs/>
          <w:lang w:eastAsia="ja-JP"/>
        </w:rPr>
        <w:lastRenderedPageBreak/>
        <w:t>et al</w:t>
      </w:r>
      <w:r w:rsidR="00761EA2">
        <w:rPr>
          <w:rFonts w:eastAsiaTheme="minorEastAsia"/>
          <w:lang w:eastAsia="ja-JP"/>
        </w:rPr>
        <w:t xml:space="preserve">., 1994 ; </w:t>
      </w:r>
      <w:r>
        <w:rPr>
          <w:rFonts w:eastAsiaTheme="minorEastAsia"/>
          <w:lang w:eastAsia="ja-JP"/>
        </w:rPr>
        <w:t xml:space="preserve">Meyer </w:t>
      </w:r>
      <w:r>
        <w:rPr>
          <w:rFonts w:eastAsiaTheme="minorEastAsia"/>
          <w:i/>
          <w:iCs/>
          <w:lang w:eastAsia="ja-JP"/>
        </w:rPr>
        <w:t>et al</w:t>
      </w:r>
      <w:r>
        <w:rPr>
          <w:rFonts w:eastAsiaTheme="minorEastAsia"/>
          <w:lang w:eastAsia="ja-JP"/>
        </w:rPr>
        <w:t>., 2014 ;</w:t>
      </w:r>
      <w:r w:rsidR="00761EA2">
        <w:rPr>
          <w:rFonts w:eastAsiaTheme="minorEastAsia"/>
          <w:lang w:eastAsia="ja-JP"/>
        </w:rPr>
        <w:t xml:space="preserve"> Miyawaki </w:t>
      </w:r>
      <w:r w:rsidR="00761EA2">
        <w:rPr>
          <w:rFonts w:eastAsiaTheme="minorEastAsia"/>
          <w:i/>
          <w:iCs/>
          <w:lang w:eastAsia="ja-JP"/>
        </w:rPr>
        <w:t>et al.</w:t>
      </w:r>
      <w:r w:rsidR="00761EA2">
        <w:rPr>
          <w:rFonts w:eastAsiaTheme="minorEastAsia"/>
          <w:lang w:eastAsia="ja-JP"/>
        </w:rPr>
        <w:t>, 2017 ;</w:t>
      </w:r>
      <w:r>
        <w:rPr>
          <w:rFonts w:eastAsiaTheme="minorEastAsia"/>
          <w:lang w:eastAsia="ja-JP"/>
        </w:rPr>
        <w:t xml:space="preserve"> Eckert </w:t>
      </w:r>
      <w:r>
        <w:rPr>
          <w:rFonts w:eastAsiaTheme="minorEastAsia"/>
          <w:i/>
          <w:iCs/>
          <w:lang w:eastAsia="ja-JP"/>
        </w:rPr>
        <w:t>et al</w:t>
      </w:r>
      <w:r>
        <w:rPr>
          <w:rFonts w:eastAsiaTheme="minorEastAsia"/>
          <w:lang w:eastAsia="ja-JP"/>
        </w:rPr>
        <w:t xml:space="preserve">., 2022). In this work, oxygen </w:t>
      </w:r>
      <w:r>
        <w:rPr>
          <w:rFonts w:eastAsiaTheme="minorEastAsia"/>
          <w:i/>
          <w:iCs/>
          <w:lang w:eastAsia="ja-JP"/>
        </w:rPr>
        <w:t>K</w:t>
      </w:r>
      <w:r>
        <w:rPr>
          <w:rFonts w:eastAsiaTheme="minorEastAsia"/>
          <w:lang w:eastAsia="ja-JP"/>
        </w:rPr>
        <w:t xml:space="preserve"> edge RXES was undertaken for the MOF,</w:t>
      </w:r>
      <w:r w:rsidR="00AF59CC">
        <w:rPr>
          <w:rFonts w:eastAsiaTheme="minorEastAsia"/>
          <w:lang w:eastAsia="ja-JP"/>
        </w:rPr>
        <w:t xml:space="preserve"> MIL-53(Al)</w:t>
      </w:r>
      <w:r>
        <w:rPr>
          <w:rFonts w:eastAsiaTheme="minorEastAsia"/>
          <w:lang w:eastAsia="ja-JP"/>
        </w:rPr>
        <w:t>, in order to selectively probe the carboxylate ligand orbitals participating in the metal-ligand interaction,</w:t>
      </w:r>
      <w:r w:rsidR="0036131C">
        <w:rPr>
          <w:rFonts w:eastAsiaTheme="minorEastAsia"/>
          <w:lang w:eastAsia="ja-JP"/>
        </w:rPr>
        <w:t xml:space="preserve"> both in the presence and absence of adsorbed water,</w:t>
      </w:r>
      <w:r>
        <w:rPr>
          <w:rFonts w:eastAsiaTheme="minorEastAsia"/>
          <w:lang w:eastAsia="ja-JP"/>
        </w:rPr>
        <w:t xml:space="preserve"> and elucidate their role in modulating MOF vibrational dynamics responsible for pore breathing. RXES measurements were performed using the high-resolution soft x-ray emission spectrometer </w:t>
      </w:r>
      <w:r w:rsidR="00AC3657">
        <w:rPr>
          <w:rFonts w:eastAsiaTheme="minorEastAsia"/>
          <w:lang w:eastAsia="ja-JP"/>
        </w:rPr>
        <w:t xml:space="preserve">at the </w:t>
      </w:r>
      <w:r>
        <w:rPr>
          <w:rFonts w:eastAsiaTheme="minorEastAsia"/>
          <w:lang w:eastAsia="ja-JP"/>
        </w:rPr>
        <w:t>S</w:t>
      </w:r>
      <w:r w:rsidR="00D16E1D">
        <w:rPr>
          <w:rFonts w:eastAsiaTheme="minorEastAsia"/>
          <w:lang w:eastAsia="ja-JP"/>
        </w:rPr>
        <w:t>P</w:t>
      </w:r>
      <w:r>
        <w:rPr>
          <w:rFonts w:eastAsiaTheme="minorEastAsia"/>
          <w:lang w:eastAsia="ja-JP"/>
        </w:rPr>
        <w:t xml:space="preserve">ring-8 BL07LSU </w:t>
      </w:r>
      <w:r w:rsidR="00AC3657">
        <w:rPr>
          <w:rFonts w:eastAsiaTheme="minorEastAsia"/>
          <w:lang w:eastAsia="ja-JP"/>
        </w:rPr>
        <w:t xml:space="preserve">HORNET endstation </w:t>
      </w:r>
      <w:r>
        <w:rPr>
          <w:rFonts w:eastAsiaTheme="minorEastAsia"/>
          <w:lang w:eastAsia="ja-JP"/>
        </w:rPr>
        <w:t xml:space="preserve">(Harada </w:t>
      </w:r>
      <w:r>
        <w:rPr>
          <w:rFonts w:eastAsiaTheme="minorEastAsia"/>
          <w:i/>
          <w:iCs/>
          <w:lang w:eastAsia="ja-JP"/>
        </w:rPr>
        <w:t>et al.</w:t>
      </w:r>
      <w:r>
        <w:rPr>
          <w:rFonts w:eastAsiaTheme="minorEastAsia"/>
          <w:lang w:eastAsia="ja-JP"/>
        </w:rPr>
        <w:t xml:space="preserve">, 2012 ; Yamamoto </w:t>
      </w:r>
      <w:r>
        <w:rPr>
          <w:rFonts w:eastAsiaTheme="minorEastAsia"/>
          <w:i/>
          <w:iCs/>
          <w:lang w:eastAsia="ja-JP"/>
        </w:rPr>
        <w:t>et al</w:t>
      </w:r>
      <w:r>
        <w:rPr>
          <w:rFonts w:eastAsiaTheme="minorEastAsia"/>
          <w:lang w:eastAsia="ja-JP"/>
        </w:rPr>
        <w:t>., 2014).</w:t>
      </w:r>
      <w:r w:rsidR="00142D82">
        <w:rPr>
          <w:rFonts w:eastAsiaTheme="minorEastAsia"/>
          <w:lang w:eastAsia="ja-JP"/>
        </w:rPr>
        <w:t xml:space="preserve">  Electronic structure calculations on the benzenedicarboxylate anion ligand were undertaken to adequately account for the spectral features which exhibited change with temperature and water adsorption.</w:t>
      </w:r>
    </w:p>
    <w:p w14:paraId="5A23D978" w14:textId="77777777" w:rsidR="006718BF" w:rsidRDefault="006718BF" w:rsidP="006718BF">
      <w:pPr>
        <w:pStyle w:val="IUCrheading1"/>
        <w:numPr>
          <w:ilvl w:val="0"/>
          <w:numId w:val="45"/>
        </w:numPr>
        <w:textAlignment w:val="auto"/>
      </w:pPr>
      <w:r>
        <w:t>Results and Discussion</w:t>
      </w:r>
    </w:p>
    <w:p w14:paraId="2C5AB466" w14:textId="706D230E" w:rsidR="006718BF" w:rsidRDefault="006718BF" w:rsidP="006718BF">
      <w:pPr>
        <w:pStyle w:val="IUCrheading2"/>
        <w:numPr>
          <w:ilvl w:val="1"/>
          <w:numId w:val="45"/>
        </w:numPr>
        <w:textAlignment w:val="auto"/>
      </w:pPr>
      <w:r>
        <w:t>X-ray absorption spectroscopy (XAS)</w:t>
      </w:r>
    </w:p>
    <w:p w14:paraId="2EC784CC" w14:textId="0FF7A0F6" w:rsidR="006718BF" w:rsidRPr="005C102C" w:rsidRDefault="005C102C" w:rsidP="005C102C">
      <w:pPr>
        <w:pStyle w:val="IUCrheading1"/>
        <w:numPr>
          <w:ilvl w:val="0"/>
          <w:numId w:val="0"/>
        </w:numPr>
        <w:rPr>
          <w:szCs w:val="24"/>
          <w:lang w:eastAsia="ja-JP"/>
        </w:rPr>
      </w:pPr>
      <w:r>
        <w:rPr>
          <w:noProof/>
        </w:rPr>
        <w:drawing>
          <wp:inline distT="0" distB="0" distL="0" distR="0" wp14:anchorId="2741DBB5" wp14:editId="4A44F5BE">
            <wp:extent cx="5731510" cy="3621405"/>
            <wp:effectExtent l="0" t="0" r="2540" b="0"/>
            <wp:docPr id="14833490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621405"/>
                    </a:xfrm>
                    <a:prstGeom prst="rect">
                      <a:avLst/>
                    </a:prstGeom>
                    <a:noFill/>
                    <a:ln>
                      <a:noFill/>
                    </a:ln>
                  </pic:spPr>
                </pic:pic>
              </a:graphicData>
            </a:graphic>
          </wp:inline>
        </w:drawing>
      </w:r>
    </w:p>
    <w:p w14:paraId="373E547C" w14:textId="584A0D96" w:rsidR="006718BF" w:rsidRDefault="006718BF" w:rsidP="00252B2D">
      <w:pPr>
        <w:pStyle w:val="IUCrfigurecaption"/>
        <w:jc w:val="both"/>
      </w:pPr>
      <w:r>
        <w:t xml:space="preserve">Oxygen </w:t>
      </w:r>
      <w:r>
        <w:rPr>
          <w:i/>
          <w:iCs/>
        </w:rPr>
        <w:t xml:space="preserve">K </w:t>
      </w:r>
      <w:r>
        <w:t xml:space="preserve">edge x-ray absorption (XAS) spectra for </w:t>
      </w:r>
      <w:r w:rsidR="00AF59CC">
        <w:t>MIL-53(Al)</w:t>
      </w:r>
      <w:r>
        <w:t xml:space="preserve"> MOF, in vacuum at 30 °C, compared with TD-DFT calculated XAS energies for the benzenedicarboxylate anion ligand, with the unoccupied orbitals π</w:t>
      </w:r>
      <w:r>
        <w:rPr>
          <w:vertAlign w:val="superscript"/>
        </w:rPr>
        <w:t>*</w:t>
      </w:r>
      <w:r>
        <w:rPr>
          <w:i/>
          <w:iCs/>
          <w:vertAlign w:val="subscript"/>
        </w:rPr>
        <w:t>u</w:t>
      </w:r>
      <w:r>
        <w:rPr>
          <w:i/>
          <w:iCs/>
        </w:rPr>
        <w:t>,</w:t>
      </w:r>
      <w:r>
        <w:t xml:space="preserve"> π</w:t>
      </w:r>
      <w:r>
        <w:rPr>
          <w:vertAlign w:val="superscript"/>
        </w:rPr>
        <w:t>*</w:t>
      </w:r>
      <w:r>
        <w:rPr>
          <w:i/>
          <w:iCs/>
          <w:vertAlign w:val="subscript"/>
        </w:rPr>
        <w:t>g</w:t>
      </w:r>
      <w:r>
        <w:rPr>
          <w:i/>
          <w:iCs/>
        </w:rPr>
        <w:t>,</w:t>
      </w:r>
      <w:r>
        <w:t xml:space="preserve"> and π</w:t>
      </w:r>
      <w:r>
        <w:rPr>
          <w:vertAlign w:val="superscript"/>
        </w:rPr>
        <w:t>*</w:t>
      </w:r>
      <w:r>
        <w:rPr>
          <w:vertAlign w:val="subscript"/>
        </w:rPr>
        <w:t>CO</w:t>
      </w:r>
      <w:r>
        <w:t xml:space="preserve"> assigned to the pre-edge features.</w:t>
      </w:r>
    </w:p>
    <w:p w14:paraId="6D3BF2BC" w14:textId="194FBA3D" w:rsidR="006718BF" w:rsidRDefault="006718BF" w:rsidP="006718BF">
      <w:pPr>
        <w:pStyle w:val="IUCrbodytext"/>
      </w:pPr>
    </w:p>
    <w:p w14:paraId="26080453" w14:textId="0E5FFB2B" w:rsidR="006718BF" w:rsidRPr="00252B2D" w:rsidRDefault="00AF59CC" w:rsidP="00252B2D">
      <w:pPr>
        <w:pStyle w:val="IUCrbodytext"/>
        <w:jc w:val="both"/>
        <w:rPr>
          <w:rFonts w:eastAsiaTheme="minorEastAsia"/>
          <w:lang w:eastAsia="ja-JP"/>
        </w:rPr>
      </w:pPr>
      <w:r>
        <w:rPr>
          <w:rFonts w:eastAsiaTheme="minorEastAsia"/>
          <w:lang w:eastAsia="ja-JP"/>
        </w:rPr>
        <w:t>The o</w:t>
      </w:r>
      <w:r w:rsidR="006718BF">
        <w:rPr>
          <w:rFonts w:eastAsiaTheme="minorEastAsia"/>
          <w:lang w:eastAsia="ja-JP"/>
        </w:rPr>
        <w:t xml:space="preserve">xygen </w:t>
      </w:r>
      <w:r w:rsidR="006718BF">
        <w:rPr>
          <w:rFonts w:eastAsiaTheme="minorEastAsia"/>
          <w:i/>
          <w:iCs/>
          <w:lang w:eastAsia="ja-JP"/>
        </w:rPr>
        <w:t xml:space="preserve">K </w:t>
      </w:r>
      <w:r w:rsidR="006718BF">
        <w:rPr>
          <w:rFonts w:eastAsiaTheme="minorEastAsia"/>
          <w:lang w:eastAsia="ja-JP"/>
        </w:rPr>
        <w:t>edge x-ray absorption spectra (XAS) of M</w:t>
      </w:r>
      <w:r>
        <w:rPr>
          <w:rFonts w:eastAsiaTheme="minorEastAsia"/>
          <w:lang w:eastAsia="ja-JP"/>
        </w:rPr>
        <w:t>IL-53(Al) MOF</w:t>
      </w:r>
      <w:r w:rsidR="00B1101C">
        <w:rPr>
          <w:rFonts w:eastAsiaTheme="minorEastAsia"/>
          <w:lang w:eastAsia="ja-JP"/>
        </w:rPr>
        <w:t>,</w:t>
      </w:r>
      <w:r w:rsidR="006718BF">
        <w:rPr>
          <w:rFonts w:eastAsiaTheme="minorEastAsia"/>
          <w:lang w:eastAsia="ja-JP"/>
        </w:rPr>
        <w:t xml:space="preserve"> in vacuum at </w:t>
      </w:r>
      <w:r w:rsidR="006718BF">
        <w:t>30 °C</w:t>
      </w:r>
      <w:r w:rsidR="00B1101C">
        <w:t>,</w:t>
      </w:r>
      <w:r w:rsidR="006718BF">
        <w:t xml:space="preserve"> showed two pre-edge features (Fig. 2) at 532.0 and 534.4 eV. Time-dependent density functional theory (TD-DFT) XAS calculations on the benzendicarboxylate (BDC) anion ligand suggested that the 532.0 and 534.4 eV pre-edge peaks arise from the unoccupied orbitals, π</w:t>
      </w:r>
      <w:r w:rsidR="006718BF">
        <w:rPr>
          <w:vertAlign w:val="superscript"/>
        </w:rPr>
        <w:t>*</w:t>
      </w:r>
      <w:r w:rsidR="006718BF">
        <w:rPr>
          <w:i/>
          <w:iCs/>
          <w:vertAlign w:val="subscript"/>
        </w:rPr>
        <w:t>u</w:t>
      </w:r>
      <w:r w:rsidR="006718BF">
        <w:t>, and π</w:t>
      </w:r>
      <w:r w:rsidR="006718BF">
        <w:rPr>
          <w:vertAlign w:val="superscript"/>
        </w:rPr>
        <w:t>*</w:t>
      </w:r>
      <w:r w:rsidR="006718BF">
        <w:rPr>
          <w:i/>
          <w:iCs/>
          <w:vertAlign w:val="subscript"/>
        </w:rPr>
        <w:t>g</w:t>
      </w:r>
      <w:r w:rsidR="006718BF">
        <w:t xml:space="preserve">, respectively. While both are </w:t>
      </w:r>
      <w:r w:rsidR="006718BF">
        <w:lastRenderedPageBreak/>
        <w:t>derived from the same delocalized carboxylate COO antibonding π</w:t>
      </w:r>
      <w:r w:rsidR="006718BF">
        <w:rPr>
          <w:vertAlign w:val="superscript"/>
        </w:rPr>
        <w:t>*</w:t>
      </w:r>
      <w:r w:rsidR="006718BF">
        <w:t xml:space="preserve"> fragment orbital, they involve different benzene group orbitals which created the ~2.4 eV energy gap (Hennies </w:t>
      </w:r>
      <w:r w:rsidR="006718BF">
        <w:rPr>
          <w:i/>
          <w:iCs/>
        </w:rPr>
        <w:t>et al.</w:t>
      </w:r>
      <w:r w:rsidR="006718BF">
        <w:t>, 2007) between the π</w:t>
      </w:r>
      <w:r w:rsidR="006718BF">
        <w:rPr>
          <w:vertAlign w:val="superscript"/>
        </w:rPr>
        <w:t>*</w:t>
      </w:r>
      <w:r w:rsidR="006718BF">
        <w:rPr>
          <w:i/>
          <w:iCs/>
          <w:vertAlign w:val="subscript"/>
        </w:rPr>
        <w:t>u</w:t>
      </w:r>
      <w:r w:rsidR="006718BF">
        <w:t>, and π</w:t>
      </w:r>
      <w:r w:rsidR="006718BF">
        <w:rPr>
          <w:vertAlign w:val="superscript"/>
        </w:rPr>
        <w:t>*</w:t>
      </w:r>
      <w:r w:rsidR="006718BF">
        <w:rPr>
          <w:i/>
          <w:iCs/>
          <w:vertAlign w:val="subscript"/>
        </w:rPr>
        <w:t>g</w:t>
      </w:r>
      <w:r w:rsidR="006718BF">
        <w:t xml:space="preserve"> states. Moreover, it is noted that the 532.0 eV pre-edge peak includes contribution from the antibonding π</w:t>
      </w:r>
      <w:r w:rsidR="006718BF">
        <w:rPr>
          <w:vertAlign w:val="superscript"/>
        </w:rPr>
        <w:t>*</w:t>
      </w:r>
      <w:r w:rsidR="006718BF">
        <w:rPr>
          <w:vertAlign w:val="subscript"/>
        </w:rPr>
        <w:t>CO</w:t>
      </w:r>
      <w:r w:rsidR="006718BF">
        <w:t xml:space="preserve"> orbital for the localized carbonyl C=O group, as was observed in carboxylates and amino acids </w:t>
      </w:r>
      <w:r w:rsidR="006718BF">
        <w:rPr>
          <w:rFonts w:eastAsiaTheme="minorEastAsia"/>
          <w:lang w:eastAsia="ja-JP"/>
        </w:rPr>
        <w:t xml:space="preserve">(Tokushima </w:t>
      </w:r>
      <w:r w:rsidR="006718BF">
        <w:rPr>
          <w:rFonts w:eastAsiaTheme="minorEastAsia"/>
          <w:i/>
          <w:iCs/>
          <w:lang w:eastAsia="ja-JP"/>
        </w:rPr>
        <w:t>et al</w:t>
      </w:r>
      <w:r w:rsidR="006718BF">
        <w:rPr>
          <w:rFonts w:eastAsiaTheme="minorEastAsia"/>
          <w:lang w:eastAsia="ja-JP"/>
        </w:rPr>
        <w:t xml:space="preserve">., 2009 ; Horikawa </w:t>
      </w:r>
      <w:r w:rsidR="006718BF">
        <w:rPr>
          <w:rFonts w:eastAsiaTheme="minorEastAsia"/>
          <w:i/>
          <w:iCs/>
          <w:lang w:eastAsia="ja-JP"/>
        </w:rPr>
        <w:t>et al</w:t>
      </w:r>
      <w:r w:rsidR="006718BF">
        <w:rPr>
          <w:rFonts w:eastAsiaTheme="minorEastAsia"/>
          <w:lang w:eastAsia="ja-JP"/>
        </w:rPr>
        <w:t xml:space="preserve">., 2009 ; Meyer </w:t>
      </w:r>
      <w:r w:rsidR="006718BF">
        <w:rPr>
          <w:rFonts w:eastAsiaTheme="minorEastAsia"/>
          <w:i/>
          <w:iCs/>
          <w:lang w:eastAsia="ja-JP"/>
        </w:rPr>
        <w:t>et al</w:t>
      </w:r>
      <w:r w:rsidR="006718BF">
        <w:rPr>
          <w:rFonts w:eastAsiaTheme="minorEastAsia"/>
          <w:lang w:eastAsia="ja-JP"/>
        </w:rPr>
        <w:t xml:space="preserve">., 2014 ; Eckert </w:t>
      </w:r>
      <w:r w:rsidR="006718BF">
        <w:rPr>
          <w:rFonts w:eastAsiaTheme="minorEastAsia"/>
          <w:i/>
          <w:iCs/>
          <w:lang w:eastAsia="ja-JP"/>
        </w:rPr>
        <w:t>et al</w:t>
      </w:r>
      <w:r w:rsidR="006718BF">
        <w:rPr>
          <w:rFonts w:eastAsiaTheme="minorEastAsia"/>
          <w:lang w:eastAsia="ja-JP"/>
        </w:rPr>
        <w:t xml:space="preserve">., 2022). Hence, RXES measurements were opted at 534.4 eV excitation, instead of at 532.0 eV, in order to probe the delocalized carboxylate COO units (Fig. 2) involved in bridging metal sites </w:t>
      </w:r>
      <w:r w:rsidR="00D22483">
        <w:rPr>
          <w:rFonts w:eastAsiaTheme="minorEastAsia"/>
          <w:lang w:eastAsia="ja-JP"/>
        </w:rPr>
        <w:t>within</w:t>
      </w:r>
      <w:r w:rsidR="006718BF">
        <w:rPr>
          <w:rFonts w:eastAsiaTheme="minorEastAsia"/>
          <w:lang w:eastAsia="ja-JP"/>
        </w:rPr>
        <w:t xml:space="preserve"> the MOF structure. This minimizes the contribution of localized carbonyl C=O groups indicative of uncoordinated ligand</w:t>
      </w:r>
      <w:r w:rsidR="00BA77DF">
        <w:rPr>
          <w:rFonts w:eastAsiaTheme="minorEastAsia" w:hint="eastAsia"/>
          <w:lang w:eastAsia="ja-JP"/>
        </w:rPr>
        <w:t xml:space="preserve"> </w:t>
      </w:r>
      <w:r w:rsidR="00B1101C">
        <w:rPr>
          <w:rFonts w:eastAsiaTheme="minorEastAsia"/>
          <w:lang w:eastAsia="ja-JP"/>
        </w:rPr>
        <w:t>sites</w:t>
      </w:r>
      <w:r w:rsidR="006718BF">
        <w:rPr>
          <w:rFonts w:eastAsiaTheme="minorEastAsia"/>
          <w:lang w:eastAsia="ja-JP"/>
        </w:rPr>
        <w:t xml:space="preserve"> in the subsequent RXES spectra.</w:t>
      </w:r>
    </w:p>
    <w:p w14:paraId="1C9AB1A1" w14:textId="77777777" w:rsidR="006718BF" w:rsidRDefault="006718BF" w:rsidP="006718BF">
      <w:pPr>
        <w:pStyle w:val="IUCrheading2"/>
        <w:numPr>
          <w:ilvl w:val="1"/>
          <w:numId w:val="45"/>
        </w:numPr>
        <w:textAlignment w:val="auto"/>
        <w:rPr>
          <w:rFonts w:eastAsiaTheme="minorEastAsia"/>
          <w:lang w:eastAsia="ja-JP"/>
        </w:rPr>
      </w:pPr>
      <w:r>
        <w:rPr>
          <w:rFonts w:eastAsiaTheme="minorEastAsia"/>
          <w:lang w:eastAsia="ja-JP"/>
        </w:rPr>
        <w:t>Resonant x-ray emission spectroscopy</w:t>
      </w:r>
    </w:p>
    <w:p w14:paraId="759D4048" w14:textId="4300B9F6" w:rsidR="006718BF" w:rsidRPr="005C102C" w:rsidRDefault="005C102C" w:rsidP="005C102C">
      <w:pPr>
        <w:pStyle w:val="IUCrheading1"/>
        <w:numPr>
          <w:ilvl w:val="0"/>
          <w:numId w:val="0"/>
        </w:numPr>
        <w:jc w:val="center"/>
        <w:rPr>
          <w:szCs w:val="24"/>
          <w:lang w:eastAsia="ja-JP"/>
        </w:rPr>
      </w:pPr>
      <w:r>
        <w:rPr>
          <w:noProof/>
        </w:rPr>
        <w:drawing>
          <wp:inline distT="0" distB="0" distL="0" distR="0" wp14:anchorId="1AD7F9AA" wp14:editId="006BFFE7">
            <wp:extent cx="5731510" cy="3677920"/>
            <wp:effectExtent l="0" t="0" r="2540" b="0"/>
            <wp:docPr id="19304964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677920"/>
                    </a:xfrm>
                    <a:prstGeom prst="rect">
                      <a:avLst/>
                    </a:prstGeom>
                    <a:noFill/>
                    <a:ln>
                      <a:noFill/>
                    </a:ln>
                  </pic:spPr>
                </pic:pic>
              </a:graphicData>
            </a:graphic>
          </wp:inline>
        </w:drawing>
      </w:r>
    </w:p>
    <w:p w14:paraId="2CB7FF58" w14:textId="3A1D7DD7" w:rsidR="006718BF" w:rsidRDefault="006718BF" w:rsidP="00252B2D">
      <w:pPr>
        <w:pStyle w:val="IUCrfigurecaption"/>
        <w:jc w:val="both"/>
        <w:rPr>
          <w:rFonts w:eastAsiaTheme="minorEastAsia"/>
          <w:lang w:eastAsia="ja-JP"/>
        </w:rPr>
      </w:pPr>
      <w:r>
        <w:rPr>
          <w:rFonts w:eastAsiaTheme="minorEastAsia"/>
          <w:lang w:eastAsia="ja-JP"/>
        </w:rPr>
        <w:t>Resonant x-ray emission (RXES) spectra of</w:t>
      </w:r>
      <w:r w:rsidR="00AF59CC">
        <w:rPr>
          <w:rFonts w:eastAsiaTheme="minorEastAsia"/>
          <w:lang w:eastAsia="ja-JP"/>
        </w:rPr>
        <w:t xml:space="preserve"> MIL-53(Al)</w:t>
      </w:r>
      <w:r>
        <w:rPr>
          <w:rFonts w:eastAsiaTheme="minorEastAsia"/>
          <w:lang w:eastAsia="ja-JP"/>
        </w:rPr>
        <w:t xml:space="preserve"> MOF at 534.4 eV excitation (O1</w:t>
      </w:r>
      <w:r>
        <w:rPr>
          <w:rFonts w:eastAsiaTheme="minorEastAsia"/>
          <w:i/>
          <w:iCs/>
          <w:lang w:eastAsia="ja-JP"/>
        </w:rPr>
        <w:t>s</w:t>
      </w:r>
      <w:r>
        <w:rPr>
          <w:rFonts w:eastAsiaTheme="minorEastAsia"/>
          <w:lang w:eastAsia="ja-JP"/>
        </w:rPr>
        <w:t xml:space="preserve"> </w:t>
      </w:r>
      <w:r>
        <w:rPr>
          <w:rFonts w:eastAsia="ＭＳ 明朝"/>
          <w:lang w:eastAsia="ja-JP"/>
        </w:rPr>
        <w:t xml:space="preserve">→ </w:t>
      </w:r>
      <w:r>
        <w:t>π</w:t>
      </w:r>
      <w:r>
        <w:rPr>
          <w:vertAlign w:val="superscript"/>
        </w:rPr>
        <w:t>*</w:t>
      </w:r>
      <w:r>
        <w:rPr>
          <w:i/>
          <w:iCs/>
          <w:vertAlign w:val="subscript"/>
        </w:rPr>
        <w:t>g</w:t>
      </w:r>
      <w:r>
        <w:rPr>
          <w:rFonts w:eastAsiaTheme="minorEastAsia"/>
          <w:lang w:eastAsia="ja-JP"/>
        </w:rPr>
        <w:t xml:space="preserve">), </w:t>
      </w:r>
      <w:r>
        <w:t>in vacuum at 30 °C</w:t>
      </w:r>
      <w:r>
        <w:rPr>
          <w:rFonts w:eastAsiaTheme="minorEastAsia"/>
          <w:lang w:eastAsia="ja-JP"/>
        </w:rPr>
        <w:t xml:space="preserve">, compared with ROCIS-DFT calculated emission energies for the benzenedicarboxylate anion ligand, along with the occupied orbitals,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and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derived from the ligand carboxylate oxygen lone</w:t>
      </w:r>
      <w:r w:rsidR="002041AB">
        <w:rPr>
          <w:rFonts w:eastAsiaTheme="minorEastAsia"/>
          <w:lang w:eastAsia="ja-JP"/>
        </w:rPr>
        <w:t xml:space="preserve"> </w:t>
      </w:r>
      <w:r>
        <w:rPr>
          <w:rFonts w:eastAsiaTheme="minorEastAsia"/>
          <w:lang w:eastAsia="ja-JP"/>
        </w:rPr>
        <w:t xml:space="preserve">pair orbitals in either antisymmetric </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or symmetric </w:t>
      </w:r>
      <w:r>
        <w:rPr>
          <w:rFonts w:eastAsiaTheme="minorEastAsia"/>
          <w:i/>
          <w:iCs/>
          <w:lang w:eastAsia="ja-JP"/>
        </w:rPr>
        <w:t>a</w:t>
      </w:r>
      <w:r>
        <w:rPr>
          <w:rFonts w:eastAsiaTheme="minorEastAsia"/>
          <w:i/>
          <w:iCs/>
          <w:vertAlign w:val="subscript"/>
          <w:lang w:eastAsia="ja-JP"/>
        </w:rPr>
        <w:t>g</w:t>
      </w:r>
      <w:r>
        <w:rPr>
          <w:rFonts w:eastAsiaTheme="minorEastAsia"/>
          <w:vertAlign w:val="subscript"/>
          <w:lang w:eastAsia="ja-JP"/>
        </w:rPr>
        <w:t xml:space="preserve"> </w:t>
      </w:r>
      <w:r>
        <w:rPr>
          <w:rFonts w:eastAsiaTheme="minorEastAsia"/>
          <w:lang w:eastAsia="ja-JP"/>
        </w:rPr>
        <w:t>configuration</w:t>
      </w:r>
    </w:p>
    <w:p w14:paraId="29CBB01B" w14:textId="77777777" w:rsidR="006718BF" w:rsidRDefault="006718BF" w:rsidP="006718BF">
      <w:pPr>
        <w:pStyle w:val="IUCrbodytext"/>
        <w:rPr>
          <w:rFonts w:eastAsiaTheme="minorEastAsia"/>
          <w:lang w:eastAsia="ja-JP"/>
        </w:rPr>
      </w:pPr>
    </w:p>
    <w:p w14:paraId="062FCD2F" w14:textId="0200DB59" w:rsidR="006718BF" w:rsidRDefault="006718BF" w:rsidP="006718BF">
      <w:pPr>
        <w:pStyle w:val="IUCrbodytext"/>
        <w:jc w:val="both"/>
        <w:rPr>
          <w:rFonts w:eastAsiaTheme="minorEastAsia"/>
          <w:lang w:eastAsia="ja-JP"/>
        </w:rPr>
      </w:pPr>
      <w:r>
        <w:rPr>
          <w:rFonts w:eastAsiaTheme="minorEastAsia"/>
          <w:lang w:eastAsia="ja-JP"/>
        </w:rPr>
        <w:t>Resonant x-ray emission (RXES) spectra (Fig. 3) at O1</w:t>
      </w:r>
      <w:r>
        <w:rPr>
          <w:rFonts w:eastAsiaTheme="minorEastAsia"/>
          <w:i/>
          <w:iCs/>
          <w:lang w:eastAsia="ja-JP"/>
        </w:rPr>
        <w:t>s</w:t>
      </w:r>
      <w:r>
        <w:rPr>
          <w:rFonts w:eastAsiaTheme="minorEastAsia"/>
          <w:lang w:eastAsia="ja-JP"/>
        </w:rPr>
        <w:t xml:space="preserve"> </w:t>
      </w:r>
      <w:r>
        <w:rPr>
          <w:rFonts w:eastAsia="ＭＳ 明朝"/>
          <w:lang w:eastAsia="ja-JP"/>
        </w:rPr>
        <w:t xml:space="preserve">→ </w:t>
      </w:r>
      <w:r>
        <w:t>π</w:t>
      </w:r>
      <w:r>
        <w:rPr>
          <w:vertAlign w:val="superscript"/>
        </w:rPr>
        <w:t>*</w:t>
      </w:r>
      <w:r>
        <w:rPr>
          <w:i/>
          <w:iCs/>
          <w:vertAlign w:val="subscript"/>
        </w:rPr>
        <w:t>g</w:t>
      </w:r>
      <w:r>
        <w:rPr>
          <w:rFonts w:eastAsiaTheme="minorEastAsia"/>
          <w:lang w:eastAsia="ja-JP"/>
        </w:rPr>
        <w:t xml:space="preserve"> excitation at 534.4 eV (Fig. 2) for </w:t>
      </w:r>
      <w:r w:rsidR="00AF59CC">
        <w:rPr>
          <w:rFonts w:eastAsiaTheme="minorEastAsia"/>
          <w:lang w:eastAsia="ja-JP"/>
        </w:rPr>
        <w:t>the MIL-53(Al)</w:t>
      </w:r>
      <w:r>
        <w:rPr>
          <w:rFonts w:eastAsiaTheme="minorEastAsia"/>
          <w:lang w:eastAsia="ja-JP"/>
        </w:rPr>
        <w:t xml:space="preserve"> MOF was</w:t>
      </w:r>
      <w:r w:rsidR="00EC1589">
        <w:rPr>
          <w:rFonts w:eastAsiaTheme="minorEastAsia"/>
          <w:lang w:eastAsia="ja-JP"/>
        </w:rPr>
        <w:t xml:space="preserve"> measured</w:t>
      </w:r>
      <w:r>
        <w:rPr>
          <w:rFonts w:eastAsiaTheme="minorEastAsia"/>
          <w:lang w:eastAsia="ja-JP"/>
        </w:rPr>
        <w:t xml:space="preserve"> </w:t>
      </w:r>
      <w:r>
        <w:t>in vacuum at 30 °C</w:t>
      </w:r>
      <w:r>
        <w:rPr>
          <w:rFonts w:eastAsiaTheme="minorEastAsia"/>
          <w:lang w:eastAsia="ja-JP"/>
        </w:rPr>
        <w:t xml:space="preserve"> (Fig. 3). RXES calculations (Roemelt </w:t>
      </w:r>
      <w:r>
        <w:rPr>
          <w:rFonts w:eastAsiaTheme="minorEastAsia"/>
          <w:i/>
          <w:iCs/>
          <w:lang w:eastAsia="ja-JP"/>
        </w:rPr>
        <w:t>et al.</w:t>
      </w:r>
      <w:r>
        <w:rPr>
          <w:rFonts w:eastAsiaTheme="minorEastAsia"/>
          <w:lang w:eastAsia="ja-JP"/>
        </w:rPr>
        <w:t>, 2013)</w:t>
      </w:r>
      <w:r w:rsidR="0086749E">
        <w:rPr>
          <w:rFonts w:eastAsiaTheme="minorEastAsia"/>
          <w:lang w:eastAsia="ja-JP"/>
        </w:rPr>
        <w:t>,</w:t>
      </w:r>
      <w:r>
        <w:rPr>
          <w:rFonts w:eastAsiaTheme="minorEastAsia"/>
          <w:lang w:eastAsia="ja-JP"/>
        </w:rPr>
        <w:t xml:space="preserve"> under restricted open configuration interaction with single excitations using DFT-derived orbitals (ROCIS-DFT) for the BDC anion ligand</w:t>
      </w:r>
      <w:r w:rsidR="0086749E">
        <w:rPr>
          <w:rFonts w:eastAsiaTheme="minorEastAsia"/>
          <w:lang w:eastAsia="ja-JP"/>
        </w:rPr>
        <w:t>,</w:t>
      </w:r>
      <w:r>
        <w:rPr>
          <w:rFonts w:eastAsiaTheme="minorEastAsia"/>
          <w:lang w:eastAsia="ja-JP"/>
        </w:rPr>
        <w:t xml:space="preserve"> suggest</w:t>
      </w:r>
      <w:r w:rsidR="00EC1589">
        <w:rPr>
          <w:rFonts w:eastAsiaTheme="minorEastAsia"/>
          <w:lang w:eastAsia="ja-JP"/>
        </w:rPr>
        <w:t>ed</w:t>
      </w:r>
      <w:r>
        <w:rPr>
          <w:rFonts w:eastAsiaTheme="minorEastAsia"/>
          <w:lang w:eastAsia="ja-JP"/>
        </w:rPr>
        <w:t xml:space="preserve"> that the highest-lying emission features at 526.2 </w:t>
      </w:r>
      <w:r>
        <w:rPr>
          <w:rFonts w:eastAsiaTheme="minorEastAsia"/>
          <w:lang w:eastAsia="ja-JP"/>
        </w:rPr>
        <w:lastRenderedPageBreak/>
        <w:t xml:space="preserve">and 525.4 eV arise from the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and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xml:space="preserve">) states (Fig. 3), respectively derived from the carboxylate COO oxygen in-plane lone pair orbitals. The calculated ~0.4 eV energy gap between these two states for the free BDC anion ligand </w:t>
      </w:r>
      <w:r w:rsidR="00EC1589">
        <w:rPr>
          <w:rFonts w:eastAsiaTheme="minorEastAsia"/>
          <w:lang w:eastAsia="ja-JP"/>
        </w:rPr>
        <w:t>was</w:t>
      </w:r>
      <w:r>
        <w:rPr>
          <w:rFonts w:eastAsiaTheme="minorEastAsia"/>
          <w:lang w:eastAsia="ja-JP"/>
        </w:rPr>
        <w:t xml:space="preserve"> attributed to the difference in orbital overlap between the in-plane lone pair orbitals of the two oxygen atoms on the COO carboxylate group</w:t>
      </w:r>
      <w:r w:rsidR="00EC1589">
        <w:rPr>
          <w:rFonts w:eastAsiaTheme="minorEastAsia"/>
          <w:lang w:eastAsia="ja-JP"/>
        </w:rPr>
        <w:t>,</w:t>
      </w:r>
      <w:r>
        <w:rPr>
          <w:rFonts w:eastAsiaTheme="minorEastAsia"/>
          <w:lang w:eastAsia="ja-JP"/>
        </w:rPr>
        <w:t xml:space="preserve"> in either an antisymmetric </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or a symmetric </w:t>
      </w:r>
      <w:r>
        <w:rPr>
          <w:rFonts w:eastAsiaTheme="minorEastAsia"/>
          <w:i/>
          <w:iCs/>
          <w:lang w:eastAsia="ja-JP"/>
        </w:rPr>
        <w:t>a</w:t>
      </w:r>
      <w:r>
        <w:rPr>
          <w:rFonts w:eastAsiaTheme="minorEastAsia"/>
          <w:i/>
          <w:iCs/>
          <w:vertAlign w:val="subscript"/>
          <w:lang w:eastAsia="ja-JP"/>
        </w:rPr>
        <w:t>g</w:t>
      </w:r>
      <w:r>
        <w:rPr>
          <w:rFonts w:eastAsiaTheme="minorEastAsia"/>
          <w:lang w:eastAsia="ja-JP"/>
        </w:rPr>
        <w:t xml:space="preserve"> configuration (Eckert </w:t>
      </w:r>
      <w:r>
        <w:rPr>
          <w:rFonts w:eastAsiaTheme="minorEastAsia"/>
          <w:i/>
          <w:iCs/>
          <w:lang w:eastAsia="ja-JP"/>
        </w:rPr>
        <w:t>et al.</w:t>
      </w:r>
      <w:r>
        <w:rPr>
          <w:rFonts w:eastAsiaTheme="minorEastAsia"/>
          <w:lang w:eastAsia="ja-JP"/>
        </w:rPr>
        <w:t xml:space="preserve">, 2022). In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the antibonding-like interaction between the lone pair orbitals creates a region of reduced electron density between the carboxylate oxygen sites, along with a diffuse region of electron density distributed away from the oxygen sites and directed separately into the flanking metal </w:t>
      </w:r>
      <w:r>
        <w:rPr>
          <w:rFonts w:eastAsiaTheme="minorEastAsia"/>
          <w:lang w:val="en-US" w:eastAsia="ja-JP"/>
        </w:rPr>
        <w:t>centers</w:t>
      </w:r>
      <w:r>
        <w:rPr>
          <w:rFonts w:eastAsiaTheme="minorEastAsia"/>
          <w:lang w:eastAsia="ja-JP"/>
        </w:rPr>
        <w:t xml:space="preserve"> (Fig. 3). In turn, in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the bonding-like interaction between the lone pair orbitals concentrates electron density within the region between the carboxylate oxygens, favoring shared interaction with the</w:t>
      </w:r>
      <w:r w:rsidR="00114786">
        <w:rPr>
          <w:rFonts w:eastAsiaTheme="minorEastAsia"/>
          <w:lang w:eastAsia="ja-JP"/>
        </w:rPr>
        <w:t xml:space="preserve"> neighboring</w:t>
      </w:r>
      <w:r>
        <w:rPr>
          <w:rFonts w:eastAsiaTheme="minorEastAsia"/>
          <w:lang w:eastAsia="ja-JP"/>
        </w:rPr>
        <w:t xml:space="preserve"> metal centers (Fig. 3). </w:t>
      </w:r>
      <w:r w:rsidR="00252B2D">
        <w:rPr>
          <w:rFonts w:eastAsiaTheme="minorEastAsia"/>
          <w:lang w:eastAsia="ja-JP"/>
        </w:rPr>
        <w:t>T</w:t>
      </w:r>
      <w:r>
        <w:rPr>
          <w:rFonts w:eastAsiaTheme="minorEastAsia"/>
          <w:lang w:eastAsia="ja-JP"/>
        </w:rPr>
        <w:t xml:space="preserve">he deep-lying weak emission feature at ~521.4 eV was assigned to out-of-plane carboxylate </w:t>
      </w:r>
      <w:r>
        <w:t xml:space="preserve">π </w:t>
      </w:r>
      <w:r>
        <w:rPr>
          <w:rFonts w:eastAsiaTheme="minorEastAsia"/>
          <w:lang w:eastAsia="ja-JP"/>
        </w:rPr>
        <w:t xml:space="preserve">orbitals which delocalize into the neighboring benzene ring </w:t>
      </w:r>
      <w:r>
        <w:t>π system.</w:t>
      </w:r>
      <w:r w:rsidR="00252B2D">
        <w:t xml:space="preserve"> The emission bands unaccounted for in the ligand RXES calculations are attributed to contributions from the oxide oxygens in the aluminum oxo centers (Ertan </w:t>
      </w:r>
      <w:r w:rsidR="00252B2D">
        <w:rPr>
          <w:i/>
          <w:iCs/>
        </w:rPr>
        <w:t>et al</w:t>
      </w:r>
      <w:r w:rsidR="00252B2D">
        <w:t>., 2017)</w:t>
      </w:r>
      <w:r w:rsidR="00022D3D">
        <w:rPr>
          <w:rFonts w:ascii="ＭＳ 明朝" w:eastAsia="ＭＳ 明朝" w:hAnsi="ＭＳ 明朝" w:cs="ＭＳ 明朝" w:hint="eastAsia"/>
          <w:lang w:eastAsia="ja-JP"/>
        </w:rPr>
        <w:t>.</w:t>
      </w:r>
    </w:p>
    <w:p w14:paraId="72DF4196" w14:textId="77777777" w:rsidR="006718BF" w:rsidRDefault="006718BF" w:rsidP="006718BF">
      <w:pPr>
        <w:pStyle w:val="IUCrheading2"/>
        <w:numPr>
          <w:ilvl w:val="1"/>
          <w:numId w:val="45"/>
        </w:numPr>
        <w:textAlignment w:val="auto"/>
      </w:pPr>
      <w:r>
        <w:t xml:space="preserve"> The role of temperature</w:t>
      </w:r>
    </w:p>
    <w:p w14:paraId="79E41C90" w14:textId="13B4C154" w:rsidR="006718BF" w:rsidRPr="005C102C" w:rsidRDefault="005C102C" w:rsidP="005C102C">
      <w:pPr>
        <w:pStyle w:val="IUCrheading1"/>
        <w:numPr>
          <w:ilvl w:val="0"/>
          <w:numId w:val="0"/>
        </w:numPr>
        <w:jc w:val="center"/>
        <w:rPr>
          <w:szCs w:val="24"/>
          <w:lang w:eastAsia="ja-JP"/>
        </w:rPr>
      </w:pPr>
      <w:r>
        <w:rPr>
          <w:noProof/>
        </w:rPr>
        <w:drawing>
          <wp:inline distT="0" distB="0" distL="0" distR="0" wp14:anchorId="54B8C470" wp14:editId="75EB9A01">
            <wp:extent cx="5731510" cy="3581400"/>
            <wp:effectExtent l="0" t="0" r="2540" b="0"/>
            <wp:docPr id="138603426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581400"/>
                    </a:xfrm>
                    <a:prstGeom prst="rect">
                      <a:avLst/>
                    </a:prstGeom>
                    <a:noFill/>
                    <a:ln>
                      <a:noFill/>
                    </a:ln>
                  </pic:spPr>
                </pic:pic>
              </a:graphicData>
            </a:graphic>
          </wp:inline>
        </w:drawing>
      </w:r>
    </w:p>
    <w:p w14:paraId="3F28B0EE" w14:textId="37BAE99F" w:rsidR="006718BF" w:rsidRDefault="006718BF" w:rsidP="00252B2D">
      <w:pPr>
        <w:pStyle w:val="IUCrfigurecaption"/>
        <w:jc w:val="both"/>
        <w:rPr>
          <w:rFonts w:eastAsiaTheme="minorEastAsia"/>
          <w:lang w:eastAsia="ja-JP"/>
        </w:rPr>
      </w:pPr>
      <w:r>
        <w:rPr>
          <w:rFonts w:eastAsiaTheme="minorEastAsia"/>
          <w:lang w:eastAsia="ja-JP"/>
        </w:rPr>
        <w:t>Resonant x-ray emission (RXES) spectra at 534.4 eV excitation (O1</w:t>
      </w:r>
      <w:r>
        <w:rPr>
          <w:rFonts w:eastAsiaTheme="minorEastAsia"/>
          <w:i/>
          <w:iCs/>
          <w:lang w:eastAsia="ja-JP"/>
        </w:rPr>
        <w:t>s</w:t>
      </w:r>
      <w:r>
        <w:rPr>
          <w:rFonts w:eastAsiaTheme="minorEastAsia"/>
          <w:lang w:eastAsia="ja-JP"/>
        </w:rPr>
        <w:t xml:space="preserve"> </w:t>
      </w:r>
      <w:r>
        <w:rPr>
          <w:rFonts w:eastAsia="ＭＳ 明朝"/>
          <w:lang w:eastAsia="ja-JP"/>
        </w:rPr>
        <w:t xml:space="preserve">→ </w:t>
      </w:r>
      <w:r>
        <w:t>π</w:t>
      </w:r>
      <w:r>
        <w:rPr>
          <w:vertAlign w:val="superscript"/>
        </w:rPr>
        <w:t>*</w:t>
      </w:r>
      <w:r>
        <w:rPr>
          <w:i/>
          <w:iCs/>
          <w:vertAlign w:val="subscript"/>
        </w:rPr>
        <w:t>g</w:t>
      </w:r>
      <w:r>
        <w:rPr>
          <w:rFonts w:eastAsiaTheme="minorEastAsia"/>
          <w:lang w:eastAsia="ja-JP"/>
        </w:rPr>
        <w:t>) for</w:t>
      </w:r>
      <w:r w:rsidR="00AF59CC">
        <w:rPr>
          <w:rFonts w:eastAsiaTheme="minorEastAsia"/>
          <w:lang w:eastAsia="ja-JP"/>
        </w:rPr>
        <w:t xml:space="preserve"> the</w:t>
      </w:r>
      <w:r>
        <w:rPr>
          <w:rFonts w:eastAsiaTheme="minorEastAsia"/>
          <w:lang w:eastAsia="ja-JP"/>
        </w:rPr>
        <w:t xml:space="preserve"> </w:t>
      </w:r>
      <w:r w:rsidR="00AF59CC">
        <w:rPr>
          <w:rFonts w:eastAsiaTheme="minorEastAsia"/>
          <w:lang w:eastAsia="ja-JP"/>
        </w:rPr>
        <w:t>MIL-53(Al)</w:t>
      </w:r>
      <w:r>
        <w:rPr>
          <w:rFonts w:eastAsiaTheme="minorEastAsia"/>
          <w:lang w:eastAsia="ja-JP"/>
        </w:rPr>
        <w:t xml:space="preserve"> MOF in vacuum, at 30 </w:t>
      </w:r>
      <w:r>
        <w:t>°C</w:t>
      </w:r>
      <w:r>
        <w:rPr>
          <w:rFonts w:eastAsiaTheme="minorEastAsia"/>
          <w:lang w:eastAsia="ja-JP"/>
        </w:rPr>
        <w:t xml:space="preserve"> and 125 </w:t>
      </w:r>
      <w:r>
        <w:t>°C</w:t>
      </w:r>
      <w:r>
        <w:rPr>
          <w:rFonts w:eastAsiaTheme="minorEastAsia"/>
          <w:lang w:eastAsia="ja-JP"/>
        </w:rPr>
        <w:t>.</w:t>
      </w:r>
    </w:p>
    <w:p w14:paraId="1718749A" w14:textId="77777777" w:rsidR="006718BF" w:rsidRDefault="006718BF" w:rsidP="006718BF">
      <w:pPr>
        <w:pStyle w:val="IUCrbodytext"/>
        <w:rPr>
          <w:rFonts w:eastAsiaTheme="minorEastAsia"/>
          <w:lang w:eastAsia="ja-JP"/>
        </w:rPr>
      </w:pPr>
    </w:p>
    <w:p w14:paraId="203DFF21" w14:textId="74FDD21E" w:rsidR="006718BF" w:rsidRDefault="006718BF" w:rsidP="006718BF">
      <w:pPr>
        <w:pStyle w:val="IUCrbodytext"/>
        <w:jc w:val="both"/>
        <w:rPr>
          <w:rFonts w:eastAsiaTheme="minorEastAsia"/>
          <w:lang w:eastAsia="ja-JP"/>
        </w:rPr>
      </w:pPr>
      <w:r>
        <w:rPr>
          <w:rFonts w:eastAsiaTheme="minorEastAsia"/>
          <w:lang w:eastAsia="ja-JP"/>
        </w:rPr>
        <w:lastRenderedPageBreak/>
        <w:t>The temperature dependence of the RXES spectra at 534.4 eV excitation (Fig. 4) for</w:t>
      </w:r>
      <w:r w:rsidR="00AF59CC">
        <w:rPr>
          <w:rFonts w:eastAsiaTheme="minorEastAsia"/>
          <w:lang w:eastAsia="ja-JP"/>
        </w:rPr>
        <w:t xml:space="preserve"> the</w:t>
      </w:r>
      <w:r>
        <w:rPr>
          <w:rFonts w:eastAsiaTheme="minorEastAsia"/>
          <w:lang w:eastAsia="ja-JP"/>
        </w:rPr>
        <w:t xml:space="preserve"> </w:t>
      </w:r>
      <w:r w:rsidR="00AF59CC">
        <w:rPr>
          <w:rFonts w:eastAsiaTheme="minorEastAsia"/>
          <w:lang w:eastAsia="ja-JP"/>
        </w:rPr>
        <w:t xml:space="preserve">MIL-53(Al) </w:t>
      </w:r>
      <w:r>
        <w:rPr>
          <w:rFonts w:eastAsiaTheme="minorEastAsia"/>
          <w:lang w:eastAsia="ja-JP"/>
        </w:rPr>
        <w:t>MOF showed modulation of emission intensities for the highest-lying valence states, with a reduced emission at 526.2 eV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compensated by an enhanced emission at 525.4 eV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xml:space="preserve">))  upon temperature increase. Such electronic perturbation appears to be involved in the structural change accompanying the onset of pore breathing at higher temperatures (Loiseau </w:t>
      </w:r>
      <w:r>
        <w:rPr>
          <w:rFonts w:eastAsiaTheme="minorEastAsia"/>
          <w:i/>
          <w:iCs/>
          <w:lang w:eastAsia="ja-JP"/>
        </w:rPr>
        <w:t>et al</w:t>
      </w:r>
      <w:r>
        <w:rPr>
          <w:rFonts w:eastAsiaTheme="minorEastAsia"/>
          <w:lang w:eastAsia="ja-JP"/>
        </w:rPr>
        <w:t xml:space="preserve">., 2004 ; Liu </w:t>
      </w:r>
      <w:r>
        <w:rPr>
          <w:rFonts w:eastAsiaTheme="minorEastAsia"/>
          <w:i/>
          <w:iCs/>
          <w:lang w:eastAsia="ja-JP"/>
        </w:rPr>
        <w:t>et al.</w:t>
      </w:r>
      <w:r>
        <w:rPr>
          <w:rFonts w:eastAsiaTheme="minorEastAsia"/>
          <w:lang w:eastAsia="ja-JP"/>
        </w:rPr>
        <w:t xml:space="preserve">, 2008 ; Volkringer </w:t>
      </w:r>
      <w:r>
        <w:rPr>
          <w:rFonts w:eastAsiaTheme="minorEastAsia"/>
          <w:i/>
          <w:iCs/>
          <w:lang w:eastAsia="ja-JP"/>
        </w:rPr>
        <w:t>et al</w:t>
      </w:r>
      <w:r>
        <w:rPr>
          <w:rFonts w:eastAsiaTheme="minorEastAsia"/>
          <w:lang w:eastAsia="ja-JP"/>
        </w:rPr>
        <w:t xml:space="preserve">., 2009). This includes the slightly shorter carboxylate C-O bond inferred from the blue shift (SI, Fig. S1) for the stretching mode, and the modest increase in lattice constant (SI, Fig. S2) especially across the pore walls. The RXES spectra suggest that pore breathing, solely induced by temperature increase </w:t>
      </w:r>
      <w:r w:rsidR="00114786">
        <w:rPr>
          <w:rFonts w:eastAsiaTheme="minorEastAsia"/>
          <w:lang w:eastAsia="ja-JP"/>
        </w:rPr>
        <w:t>under</w:t>
      </w:r>
      <w:r>
        <w:rPr>
          <w:rFonts w:eastAsiaTheme="minorEastAsia"/>
          <w:lang w:eastAsia="ja-JP"/>
        </w:rPr>
        <w:t xml:space="preserve"> vacuum, is accompanied by a modulation of orbital occupancy of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and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states, as reflected in the change in their relative emission intensities.</w:t>
      </w:r>
    </w:p>
    <w:p w14:paraId="05715DE6" w14:textId="6E72D934" w:rsidR="006718BF" w:rsidRDefault="006718BF" w:rsidP="006718BF">
      <w:pPr>
        <w:pStyle w:val="IUCrbodytext"/>
        <w:jc w:val="center"/>
        <w:rPr>
          <w:rFonts w:eastAsiaTheme="minorEastAsia"/>
          <w:lang w:eastAsia="ja-JP"/>
        </w:rPr>
      </w:pPr>
      <w:r>
        <w:rPr>
          <w:rFonts w:eastAsiaTheme="minorEastAsia"/>
          <w:noProof/>
          <w:lang w:eastAsia="ja-JP"/>
        </w:rPr>
        <w:drawing>
          <wp:inline distT="0" distB="0" distL="0" distR="0" wp14:anchorId="2BBB6A43" wp14:editId="0A801358">
            <wp:extent cx="4127500" cy="4629150"/>
            <wp:effectExtent l="0" t="0" r="0" b="0"/>
            <wp:docPr id="181323965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7500" cy="4629150"/>
                    </a:xfrm>
                    <a:prstGeom prst="rect">
                      <a:avLst/>
                    </a:prstGeom>
                    <a:noFill/>
                    <a:ln>
                      <a:noFill/>
                    </a:ln>
                  </pic:spPr>
                </pic:pic>
              </a:graphicData>
            </a:graphic>
          </wp:inline>
        </w:drawing>
      </w:r>
    </w:p>
    <w:p w14:paraId="692BE9EA" w14:textId="201CE439" w:rsidR="006718BF" w:rsidRDefault="006718BF" w:rsidP="00252B2D">
      <w:pPr>
        <w:pStyle w:val="IUCrfigurecaption"/>
        <w:jc w:val="both"/>
        <w:rPr>
          <w:rFonts w:eastAsiaTheme="minorEastAsia"/>
          <w:lang w:eastAsia="ja-JP"/>
        </w:rPr>
      </w:pPr>
      <w:r>
        <w:rPr>
          <w:rFonts w:eastAsiaTheme="minorEastAsia"/>
          <w:lang w:eastAsia="ja-JP"/>
        </w:rPr>
        <w:t xml:space="preserve">Pseudo-Jahn-Teller mechanism for mode softening in a carboxylate MOF by tuning the occupancy of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and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xml:space="preserve">) </w:t>
      </w:r>
      <w:r w:rsidR="00114786">
        <w:rPr>
          <w:rFonts w:eastAsiaTheme="minorEastAsia"/>
          <w:lang w:eastAsia="ja-JP"/>
        </w:rPr>
        <w:t xml:space="preserve">lone pair </w:t>
      </w:r>
      <w:r>
        <w:rPr>
          <w:rFonts w:eastAsiaTheme="minorEastAsia"/>
          <w:lang w:eastAsia="ja-JP"/>
        </w:rPr>
        <w:t>orbitals</w:t>
      </w:r>
      <w:r w:rsidR="00B77D3B">
        <w:rPr>
          <w:rFonts w:eastAsiaTheme="minorEastAsia"/>
          <w:lang w:eastAsia="ja-JP"/>
        </w:rPr>
        <w:t>.</w:t>
      </w:r>
    </w:p>
    <w:p w14:paraId="54B99A09" w14:textId="77777777" w:rsidR="006718BF" w:rsidRDefault="006718BF" w:rsidP="006718BF">
      <w:pPr>
        <w:pStyle w:val="IUCrbodytext"/>
        <w:rPr>
          <w:rFonts w:eastAsiaTheme="minorEastAsia"/>
          <w:lang w:eastAsia="ja-JP"/>
        </w:rPr>
      </w:pPr>
    </w:p>
    <w:p w14:paraId="6F5737EA" w14:textId="7728A5D4" w:rsidR="006718BF" w:rsidRDefault="006718BF" w:rsidP="006718BF">
      <w:pPr>
        <w:pStyle w:val="IUCrbodytext"/>
        <w:jc w:val="both"/>
        <w:rPr>
          <w:rFonts w:eastAsiaTheme="minorEastAsia"/>
          <w:lang w:eastAsia="ja-JP"/>
        </w:rPr>
      </w:pPr>
      <w:r>
        <w:rPr>
          <w:rFonts w:eastAsiaTheme="minorEastAsia"/>
          <w:lang w:eastAsia="ja-JP"/>
        </w:rPr>
        <w:t>Ligand vibrational dynamics in carboxylate MOFs is closely related to the strength of metal-ligand (M</w:t>
      </w:r>
      <w:r w:rsidR="004915B5">
        <w:rPr>
          <w:rFonts w:eastAsiaTheme="minorEastAsia"/>
          <w:lang w:eastAsia="ja-JP"/>
        </w:rPr>
        <w:t>−</w:t>
      </w:r>
      <w:r>
        <w:rPr>
          <w:rFonts w:eastAsiaTheme="minorEastAsia"/>
          <w:lang w:eastAsia="ja-JP"/>
        </w:rPr>
        <w:t xml:space="preserve">O) interaction (Andreeva </w:t>
      </w:r>
      <w:r>
        <w:rPr>
          <w:rFonts w:eastAsiaTheme="minorEastAsia"/>
          <w:i/>
          <w:iCs/>
          <w:lang w:eastAsia="ja-JP"/>
        </w:rPr>
        <w:t>et al.</w:t>
      </w:r>
      <w:r>
        <w:rPr>
          <w:rFonts w:eastAsiaTheme="minorEastAsia"/>
          <w:lang w:eastAsia="ja-JP"/>
        </w:rPr>
        <w:t>, 2020), with “loose” M</w:t>
      </w:r>
      <w:r w:rsidR="004915B5">
        <w:rPr>
          <w:rFonts w:eastAsiaTheme="minorEastAsia"/>
          <w:lang w:eastAsia="ja-JP"/>
        </w:rPr>
        <w:t>−</w:t>
      </w:r>
      <w:r>
        <w:rPr>
          <w:rFonts w:eastAsiaTheme="minorEastAsia"/>
          <w:lang w:eastAsia="ja-JP"/>
        </w:rPr>
        <w:t xml:space="preserve">O bond populations preferred over “tight” ones, and stabilized by entropy at higher temperatures (Walker </w:t>
      </w:r>
      <w:r>
        <w:rPr>
          <w:rFonts w:eastAsiaTheme="minorEastAsia"/>
          <w:i/>
          <w:iCs/>
          <w:lang w:eastAsia="ja-JP"/>
        </w:rPr>
        <w:t>et al</w:t>
      </w:r>
      <w:r>
        <w:rPr>
          <w:rFonts w:eastAsiaTheme="minorEastAsia"/>
          <w:lang w:eastAsia="ja-JP"/>
        </w:rPr>
        <w:t xml:space="preserve">., 2010 : Wieme </w:t>
      </w:r>
      <w:r>
        <w:rPr>
          <w:rFonts w:eastAsiaTheme="minorEastAsia"/>
          <w:i/>
          <w:iCs/>
          <w:lang w:eastAsia="ja-JP"/>
        </w:rPr>
        <w:t>et al</w:t>
      </w:r>
      <w:r>
        <w:rPr>
          <w:rFonts w:eastAsiaTheme="minorEastAsia"/>
          <w:lang w:eastAsia="ja-JP"/>
        </w:rPr>
        <w:t xml:space="preserve">., 2018). Tuning </w:t>
      </w:r>
      <w:r>
        <w:rPr>
          <w:rFonts w:eastAsiaTheme="minorEastAsia"/>
          <w:lang w:eastAsia="ja-JP"/>
        </w:rPr>
        <w:lastRenderedPageBreak/>
        <w:t xml:space="preserve">the orbital population for the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and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xml:space="preserve">) states (Fig. 5) is one mechanism towards modulating the strength of metal-ligand interaction, and the accompanying ligand vibrational dynamics and entropic stabilization. In this mechanism,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orbital occupation at low temperature appears to be a precedent for carboxylate C</w:t>
      </w:r>
      <w:r w:rsidR="004915B5">
        <w:rPr>
          <w:rFonts w:eastAsiaTheme="minorEastAsia"/>
          <w:lang w:eastAsia="ja-JP"/>
        </w:rPr>
        <w:t>−</w:t>
      </w:r>
      <w:r>
        <w:rPr>
          <w:rFonts w:eastAsiaTheme="minorEastAsia"/>
          <w:lang w:eastAsia="ja-JP"/>
        </w:rPr>
        <w:t xml:space="preserve">O bond inequivalence, as observed in the narrow-pore phase, as regions of electron density are directed towards the flanking metal centers separately </w:t>
      </w:r>
      <w:r w:rsidR="004915B5">
        <w:rPr>
          <w:rFonts w:eastAsiaTheme="minorEastAsia"/>
          <w:lang w:eastAsia="ja-JP"/>
        </w:rPr>
        <w:t>due to</w:t>
      </w:r>
      <w:r>
        <w:rPr>
          <w:rFonts w:eastAsiaTheme="minorEastAsia"/>
          <w:lang w:eastAsia="ja-JP"/>
        </w:rPr>
        <w:t xml:space="preserve"> the nodal plane between the carboxylate oxygens. In turn,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orbital occupation at high temperature appears to be a precedent for carboxylate C-O bond equivalence, as observed in the large-pore phase, owing to the shared interaction of the overlapping electron density regions with the neighboring metal centers.</w:t>
      </w:r>
    </w:p>
    <w:p w14:paraId="0008F463" w14:textId="77777777" w:rsidR="006718BF" w:rsidRDefault="006718BF" w:rsidP="006718BF">
      <w:pPr>
        <w:pStyle w:val="IUCrbodytext"/>
        <w:jc w:val="both"/>
        <w:rPr>
          <w:rFonts w:eastAsiaTheme="minorEastAsia"/>
          <w:lang w:eastAsia="ja-JP"/>
        </w:rPr>
      </w:pPr>
    </w:p>
    <w:p w14:paraId="72942E7D" w14:textId="61FE8B08" w:rsidR="006718BF" w:rsidRDefault="006718BF" w:rsidP="006718BF">
      <w:pPr>
        <w:pStyle w:val="IUCrbodytext"/>
        <w:jc w:val="both"/>
        <w:rPr>
          <w:rFonts w:eastAsiaTheme="minorEastAsia"/>
          <w:lang w:eastAsia="ja-JP"/>
        </w:rPr>
      </w:pPr>
      <w:r>
        <w:rPr>
          <w:rFonts w:eastAsiaTheme="minorEastAsia"/>
          <w:lang w:eastAsia="ja-JP"/>
        </w:rPr>
        <w:t>A pseudo-Jahn-Teller (PJT) description of the modulation of orbital occupancy (Bersuker, 2013 ; Bersuker, 2021)</w:t>
      </w:r>
      <w:r w:rsidR="00B97F74">
        <w:rPr>
          <w:rFonts w:eastAsiaTheme="minorEastAsia"/>
          <w:lang w:eastAsia="ja-JP"/>
        </w:rPr>
        <w:t xml:space="preserve"> is applied</w:t>
      </w:r>
      <w:r>
        <w:rPr>
          <w:rFonts w:eastAsiaTheme="minorEastAsia"/>
          <w:lang w:eastAsia="ja-JP"/>
        </w:rPr>
        <w:t xml:space="preserve"> for the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and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xml:space="preserve">) orbital populations </w:t>
      </w:r>
      <w:r w:rsidR="00B97F74">
        <w:rPr>
          <w:rFonts w:eastAsiaTheme="minorEastAsia"/>
          <w:lang w:eastAsia="ja-JP"/>
        </w:rPr>
        <w:t>of</w:t>
      </w:r>
      <w:r>
        <w:rPr>
          <w:rFonts w:eastAsiaTheme="minorEastAsia"/>
          <w:lang w:eastAsia="ja-JP"/>
        </w:rPr>
        <w:t xml:space="preserve"> the MOF carboxylate upon temperature change. </w:t>
      </w:r>
      <w:r w:rsidR="00B97F74">
        <w:rPr>
          <w:rFonts w:eastAsiaTheme="minorEastAsia"/>
          <w:lang w:eastAsia="ja-JP"/>
        </w:rPr>
        <w:t xml:space="preserve">In </w:t>
      </w:r>
      <w:r w:rsidR="00855373">
        <w:rPr>
          <w:rFonts w:eastAsiaTheme="minorEastAsia"/>
          <w:lang w:eastAsia="ja-JP"/>
        </w:rPr>
        <w:t>the</w:t>
      </w:r>
      <w:r>
        <w:rPr>
          <w:rFonts w:eastAsiaTheme="minorEastAsia"/>
          <w:lang w:eastAsia="ja-JP"/>
        </w:rPr>
        <w:t xml:space="preserve"> PJT mechanism, orbital populations can change via orbital mixing mediated by coupling these electronic states, Γ</w:t>
      </w:r>
      <w:r>
        <w:rPr>
          <w:rFonts w:eastAsiaTheme="minorEastAsia"/>
          <w:vertAlign w:val="subscript"/>
          <w:lang w:eastAsia="ja-JP"/>
        </w:rPr>
        <w:t>el</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and Γ</w:t>
      </w:r>
      <w:r>
        <w:rPr>
          <w:rFonts w:eastAsiaTheme="minorEastAsia"/>
          <w:vertAlign w:val="subscript"/>
          <w:lang w:eastAsia="ja-JP"/>
        </w:rPr>
        <w:t>el</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to a vibrational mode, Γ</w:t>
      </w:r>
      <w:r>
        <w:rPr>
          <w:rFonts w:eastAsiaTheme="minorEastAsia"/>
          <w:vertAlign w:val="subscript"/>
          <w:lang w:eastAsia="ja-JP"/>
        </w:rPr>
        <w:t>vib</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under the </w:t>
      </w:r>
      <w:r>
        <w:rPr>
          <w:rFonts w:eastAsiaTheme="minorEastAsia"/>
          <w:i/>
          <w:iCs/>
          <w:lang w:eastAsia="ja-JP"/>
        </w:rPr>
        <w:t>D</w:t>
      </w:r>
      <w:r>
        <w:rPr>
          <w:rFonts w:eastAsiaTheme="minorEastAsia"/>
          <w:vertAlign w:val="subscript"/>
          <w:lang w:eastAsia="ja-JP"/>
        </w:rPr>
        <w:t>2</w:t>
      </w:r>
      <w:r>
        <w:rPr>
          <w:rFonts w:eastAsiaTheme="minorEastAsia"/>
          <w:i/>
          <w:iCs/>
          <w:vertAlign w:val="subscript"/>
          <w:lang w:eastAsia="ja-JP"/>
        </w:rPr>
        <w:t>h</w:t>
      </w:r>
      <w:r>
        <w:rPr>
          <w:rFonts w:eastAsiaTheme="minorEastAsia"/>
          <w:lang w:eastAsia="ja-JP"/>
        </w:rPr>
        <w:t xml:space="preserve"> point group symmetry of the BDC anion ligand, that satisfies the symmetry condition: Γ</w:t>
      </w:r>
      <w:r>
        <w:rPr>
          <w:rFonts w:eastAsiaTheme="minorEastAsia"/>
          <w:vertAlign w:val="subscript"/>
          <w:lang w:eastAsia="ja-JP"/>
        </w:rPr>
        <w:t>el</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 Γ</w:t>
      </w:r>
      <w:r>
        <w:rPr>
          <w:rFonts w:eastAsiaTheme="minorEastAsia"/>
          <w:vertAlign w:val="subscript"/>
          <w:lang w:eastAsia="ja-JP"/>
        </w:rPr>
        <w:t>el</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 Γ</w:t>
      </w:r>
      <w:r>
        <w:rPr>
          <w:rFonts w:eastAsiaTheme="minorEastAsia"/>
          <w:vertAlign w:val="subscript"/>
          <w:lang w:eastAsia="ja-JP"/>
        </w:rPr>
        <w:t>vib</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 Γ(</w:t>
      </w:r>
      <w:r>
        <w:rPr>
          <w:rFonts w:eastAsiaTheme="minorEastAsia"/>
          <w:i/>
          <w:iCs/>
          <w:lang w:eastAsia="ja-JP"/>
        </w:rPr>
        <w:t>A</w:t>
      </w:r>
      <w:r>
        <w:rPr>
          <w:rFonts w:eastAsiaTheme="minorEastAsia"/>
          <w:i/>
          <w:iCs/>
          <w:vertAlign w:val="subscript"/>
          <w:lang w:eastAsia="ja-JP"/>
        </w:rPr>
        <w:t>g</w:t>
      </w:r>
      <w:r>
        <w:rPr>
          <w:rFonts w:eastAsiaTheme="minorEastAsia"/>
          <w:lang w:eastAsia="ja-JP"/>
        </w:rPr>
        <w:t xml:space="preserve">). In particular, the carboxylate asymmetric stretching mode of the BDC ligand of </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vertAlign w:val="subscript"/>
          <w:lang w:eastAsia="ja-JP"/>
        </w:rPr>
        <w:t xml:space="preserve"> </w:t>
      </w:r>
      <w:r>
        <w:rPr>
          <w:rFonts w:eastAsiaTheme="minorEastAsia"/>
          <w:lang w:eastAsia="ja-JP"/>
        </w:rPr>
        <w:t>symmetry (Fig. 5) is taken to participate in this mechanism, as it is sensitive (SI, Fig. S1) to structural change in MOFs (</w:t>
      </w:r>
      <w:r w:rsidR="006E0E5E">
        <w:rPr>
          <w:rFonts w:eastAsiaTheme="minorEastAsia"/>
          <w:lang w:eastAsia="ja-JP"/>
        </w:rPr>
        <w:t xml:space="preserve">Salazar </w:t>
      </w:r>
      <w:r w:rsidR="006E0E5E">
        <w:rPr>
          <w:rFonts w:eastAsiaTheme="minorEastAsia"/>
          <w:i/>
          <w:iCs/>
          <w:lang w:eastAsia="ja-JP"/>
        </w:rPr>
        <w:t>et al</w:t>
      </w:r>
      <w:r w:rsidR="006E0E5E">
        <w:rPr>
          <w:rFonts w:eastAsiaTheme="minorEastAsia"/>
          <w:lang w:eastAsia="ja-JP"/>
        </w:rPr>
        <w:t xml:space="preserve">., 2015 ; </w:t>
      </w:r>
      <w:r>
        <w:rPr>
          <w:rFonts w:eastAsiaTheme="minorEastAsia"/>
          <w:lang w:eastAsia="ja-JP"/>
        </w:rPr>
        <w:t xml:space="preserve">Hoffmann </w:t>
      </w:r>
      <w:r>
        <w:rPr>
          <w:rFonts w:eastAsiaTheme="minorEastAsia"/>
          <w:i/>
          <w:iCs/>
          <w:lang w:eastAsia="ja-JP"/>
        </w:rPr>
        <w:t>et al</w:t>
      </w:r>
      <w:r>
        <w:rPr>
          <w:rFonts w:eastAsiaTheme="minorEastAsia"/>
          <w:lang w:eastAsia="ja-JP"/>
        </w:rPr>
        <w:t>., 2018). Also, being an in</w:t>
      </w:r>
      <w:r w:rsidR="00B97F74">
        <w:rPr>
          <w:rFonts w:eastAsiaTheme="minorEastAsia"/>
          <w:lang w:eastAsia="ja-JP"/>
        </w:rPr>
        <w:t>-</w:t>
      </w:r>
      <w:r>
        <w:rPr>
          <w:rFonts w:eastAsiaTheme="minorEastAsia"/>
          <w:lang w:eastAsia="ja-JP"/>
        </w:rPr>
        <w:t xml:space="preserve">plane vibrational mode, the carboxylate </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asymmetric stretch</w:t>
      </w:r>
      <w:r w:rsidR="00B97F74">
        <w:rPr>
          <w:rFonts w:eastAsiaTheme="minorEastAsia"/>
          <w:lang w:eastAsia="ja-JP"/>
        </w:rPr>
        <w:t>ing</w:t>
      </w:r>
      <w:r>
        <w:rPr>
          <w:rFonts w:eastAsiaTheme="minorEastAsia"/>
          <w:lang w:eastAsia="ja-JP"/>
        </w:rPr>
        <w:t xml:space="preserve"> mode ha</w:t>
      </w:r>
      <w:r w:rsidR="00B97F74">
        <w:rPr>
          <w:rFonts w:eastAsiaTheme="minorEastAsia"/>
          <w:lang w:eastAsia="ja-JP"/>
        </w:rPr>
        <w:t xml:space="preserve">s </w:t>
      </w:r>
      <w:r>
        <w:rPr>
          <w:rFonts w:eastAsiaTheme="minorEastAsia"/>
          <w:lang w:eastAsia="ja-JP"/>
        </w:rPr>
        <w:t xml:space="preserve">a large spatial overlap with the in-plane </w:t>
      </w:r>
      <w:r>
        <w:rPr>
          <w:rFonts w:eastAsiaTheme="minorEastAsia"/>
          <w:i/>
          <w:iCs/>
          <w:lang w:eastAsia="ja-JP"/>
        </w:rPr>
        <w:t>n</w:t>
      </w:r>
      <w:r>
        <w:rPr>
          <w:rFonts w:eastAsiaTheme="minorEastAsia"/>
          <w:lang w:eastAsia="ja-JP"/>
        </w:rPr>
        <w:t>(</w:t>
      </w:r>
      <w:r>
        <w:rPr>
          <w:rFonts w:eastAsiaTheme="minorEastAsia"/>
          <w:i/>
          <w:iCs/>
          <w:lang w:eastAsia="ja-JP"/>
        </w:rPr>
        <w:t>b</w:t>
      </w:r>
      <w:r>
        <w:rPr>
          <w:rFonts w:eastAsiaTheme="minorEastAsia"/>
          <w:vertAlign w:val="subscript"/>
          <w:lang w:eastAsia="ja-JP"/>
        </w:rPr>
        <w:t>1</w:t>
      </w:r>
      <w:r>
        <w:rPr>
          <w:rFonts w:eastAsiaTheme="minorEastAsia"/>
          <w:i/>
          <w:iCs/>
          <w:vertAlign w:val="subscript"/>
          <w:lang w:eastAsia="ja-JP"/>
        </w:rPr>
        <w:t>g</w:t>
      </w:r>
      <w:r>
        <w:rPr>
          <w:rFonts w:eastAsiaTheme="minorEastAsia"/>
          <w:lang w:eastAsia="ja-JP"/>
        </w:rPr>
        <w:t xml:space="preserve">) and </w:t>
      </w:r>
      <w:r>
        <w:rPr>
          <w:rFonts w:eastAsiaTheme="minorEastAsia"/>
          <w:i/>
          <w:iCs/>
          <w:lang w:eastAsia="ja-JP"/>
        </w:rPr>
        <w:t>n</w:t>
      </w:r>
      <w:r>
        <w:rPr>
          <w:rFonts w:eastAsiaTheme="minorEastAsia"/>
          <w:lang w:eastAsia="ja-JP"/>
        </w:rPr>
        <w:t>(</w:t>
      </w:r>
      <w:r>
        <w:rPr>
          <w:rFonts w:eastAsiaTheme="minorEastAsia"/>
          <w:i/>
          <w:iCs/>
          <w:lang w:eastAsia="ja-JP"/>
        </w:rPr>
        <w:t>a</w:t>
      </w:r>
      <w:r>
        <w:rPr>
          <w:rFonts w:eastAsiaTheme="minorEastAsia"/>
          <w:i/>
          <w:iCs/>
          <w:vertAlign w:val="subscript"/>
          <w:lang w:eastAsia="ja-JP"/>
        </w:rPr>
        <w:t>g</w:t>
      </w:r>
      <w:r>
        <w:rPr>
          <w:rFonts w:eastAsiaTheme="minorEastAsia"/>
          <w:lang w:eastAsia="ja-JP"/>
        </w:rPr>
        <w:t xml:space="preserve">) lone pair orbitals being </w:t>
      </w:r>
      <w:r w:rsidR="00022D3D">
        <w:rPr>
          <w:rFonts w:eastAsiaTheme="minorEastAsia"/>
          <w:lang w:eastAsia="ja-JP"/>
        </w:rPr>
        <w:t>mixed</w:t>
      </w:r>
      <w:r>
        <w:rPr>
          <w:rFonts w:eastAsiaTheme="minorEastAsia"/>
          <w:lang w:eastAsia="ja-JP"/>
        </w:rPr>
        <w:t>, enhancing the PJT effect as a result (</w:t>
      </w:r>
      <w:r w:rsidR="006E0E5E">
        <w:rPr>
          <w:rFonts w:eastAsiaTheme="minorEastAsia"/>
          <w:lang w:eastAsia="ja-JP"/>
        </w:rPr>
        <w:t xml:space="preserve">Sato </w:t>
      </w:r>
      <w:r w:rsidR="006E0E5E">
        <w:rPr>
          <w:rFonts w:eastAsiaTheme="minorEastAsia"/>
          <w:i/>
          <w:iCs/>
          <w:lang w:eastAsia="ja-JP"/>
        </w:rPr>
        <w:t>et al.</w:t>
      </w:r>
      <w:r w:rsidR="006E0E5E">
        <w:rPr>
          <w:rFonts w:eastAsiaTheme="minorEastAsia"/>
          <w:lang w:eastAsia="ja-JP"/>
        </w:rPr>
        <w:t xml:space="preserve">, 2006 ; </w:t>
      </w:r>
      <w:r>
        <w:rPr>
          <w:rFonts w:eastAsiaTheme="minorEastAsia"/>
          <w:lang w:eastAsia="ja-JP"/>
        </w:rPr>
        <w:t>Bersuker, 2013 ; Bersuker, 2021). Finally, it is remarked th</w:t>
      </w:r>
      <w:r w:rsidR="00097C16">
        <w:rPr>
          <w:rFonts w:eastAsiaTheme="minorEastAsia"/>
          <w:lang w:eastAsia="ja-JP"/>
        </w:rPr>
        <w:t>at</w:t>
      </w:r>
      <w:r>
        <w:rPr>
          <w:rFonts w:eastAsiaTheme="minorEastAsia"/>
          <w:lang w:eastAsia="ja-JP"/>
        </w:rPr>
        <w:t xml:space="preserve"> while the microscopic mechanism of pore breathing in MIL-53 MOFs have been tackled on entropic and mechanical grounds (Walker </w:t>
      </w:r>
      <w:r>
        <w:rPr>
          <w:rFonts w:eastAsiaTheme="minorEastAsia"/>
          <w:i/>
          <w:iCs/>
          <w:lang w:eastAsia="ja-JP"/>
        </w:rPr>
        <w:t>et al.</w:t>
      </w:r>
      <w:r>
        <w:rPr>
          <w:rFonts w:eastAsiaTheme="minorEastAsia"/>
          <w:lang w:eastAsia="ja-JP"/>
        </w:rPr>
        <w:t xml:space="preserve">, 2010 ; </w:t>
      </w:r>
      <w:r w:rsidR="006E0E5E">
        <w:rPr>
          <w:rFonts w:eastAsiaTheme="minorEastAsia"/>
          <w:lang w:eastAsia="ja-JP"/>
        </w:rPr>
        <w:t xml:space="preserve">Triguero </w:t>
      </w:r>
      <w:r w:rsidR="006E0E5E">
        <w:rPr>
          <w:rFonts w:eastAsiaTheme="minorEastAsia"/>
          <w:i/>
          <w:iCs/>
          <w:lang w:eastAsia="ja-JP"/>
        </w:rPr>
        <w:t>et al.</w:t>
      </w:r>
      <w:r w:rsidR="006E0E5E">
        <w:rPr>
          <w:rFonts w:eastAsiaTheme="minorEastAsia"/>
          <w:lang w:val="en-US" w:eastAsia="ja-JP"/>
        </w:rPr>
        <w:t xml:space="preserve">, 2011 ; </w:t>
      </w:r>
      <w:r>
        <w:rPr>
          <w:rFonts w:eastAsiaTheme="minorEastAsia"/>
          <w:lang w:val="en-US" w:eastAsia="ja-JP"/>
        </w:rPr>
        <w:t>Cockayne, 2017</w:t>
      </w:r>
      <w:r w:rsidR="006E0E5E">
        <w:rPr>
          <w:rFonts w:eastAsiaTheme="minorEastAsia"/>
          <w:lang w:val="en-US" w:eastAsia="ja-JP"/>
        </w:rPr>
        <w:t xml:space="preserve"> </w:t>
      </w:r>
      <w:r w:rsidR="00766DB9">
        <w:rPr>
          <w:rFonts w:eastAsiaTheme="minorEastAsia"/>
          <w:lang w:val="en-US" w:eastAsia="ja-JP"/>
        </w:rPr>
        <w:t xml:space="preserve">; </w:t>
      </w:r>
      <w:r w:rsidR="006E0E5E">
        <w:rPr>
          <w:rFonts w:eastAsiaTheme="minorEastAsia"/>
          <w:lang w:eastAsia="ja-JP"/>
        </w:rPr>
        <w:t xml:space="preserve">Wieme </w:t>
      </w:r>
      <w:r w:rsidR="006E0E5E">
        <w:rPr>
          <w:rFonts w:eastAsiaTheme="minorEastAsia"/>
          <w:i/>
          <w:iCs/>
          <w:lang w:eastAsia="ja-JP"/>
        </w:rPr>
        <w:t>et al.</w:t>
      </w:r>
      <w:r w:rsidR="006E0E5E">
        <w:rPr>
          <w:rFonts w:eastAsiaTheme="minorEastAsia"/>
          <w:lang w:eastAsia="ja-JP"/>
        </w:rPr>
        <w:t>, 2018</w:t>
      </w:r>
      <w:r>
        <w:rPr>
          <w:rFonts w:eastAsiaTheme="minorEastAsia"/>
          <w:lang w:eastAsia="ja-JP"/>
        </w:rPr>
        <w:t xml:space="preserve">), the modulation of orbital occupancy (Fig. 5) elaborated in this work involves an earlier stage and a smaller scale of the structural phase transition, just at the onset of “loosening” or “tightening” the metal-ligand interaction that precedes the collective ligand motion needed for the drastic change in lattice structure during the breathing transition. </w:t>
      </w:r>
    </w:p>
    <w:p w14:paraId="38D904E6" w14:textId="77777777" w:rsidR="006D31F4" w:rsidRDefault="006D31F4" w:rsidP="006718BF">
      <w:pPr>
        <w:pStyle w:val="IUCrbodytext"/>
        <w:jc w:val="both"/>
        <w:rPr>
          <w:rFonts w:eastAsiaTheme="minorEastAsia"/>
          <w:lang w:eastAsia="ja-JP"/>
        </w:rPr>
      </w:pPr>
    </w:p>
    <w:p w14:paraId="55E17FDA" w14:textId="77777777" w:rsidR="006718BF" w:rsidRDefault="006718BF" w:rsidP="006D31F4">
      <w:pPr>
        <w:pStyle w:val="IUCrheading2"/>
        <w:rPr>
          <w:rFonts w:eastAsiaTheme="minorEastAsia"/>
          <w:lang w:eastAsia="ja-JP"/>
        </w:rPr>
      </w:pPr>
      <w:r>
        <w:rPr>
          <w:rFonts w:eastAsiaTheme="minorEastAsia"/>
          <w:lang w:eastAsia="ja-JP"/>
        </w:rPr>
        <w:t>The role of water adsorption</w:t>
      </w:r>
    </w:p>
    <w:p w14:paraId="2A28509E" w14:textId="7C076B22" w:rsidR="006718BF" w:rsidRDefault="006718BF" w:rsidP="006718BF">
      <w:pPr>
        <w:pStyle w:val="IUCrbodytext"/>
        <w:jc w:val="both"/>
        <w:rPr>
          <w:rFonts w:eastAsiaTheme="minorEastAsia"/>
          <w:lang w:eastAsia="ja-JP"/>
        </w:rPr>
      </w:pPr>
      <w:r>
        <w:rPr>
          <w:rFonts w:eastAsiaTheme="minorEastAsia"/>
          <w:lang w:eastAsia="ja-JP"/>
        </w:rPr>
        <w:t xml:space="preserve">The effect of water adsorption on the RXES spectra (Fig. 6) at 532.0 eV excitation (SI, Fig. S3) at 30 </w:t>
      </w:r>
      <w:r>
        <w:t xml:space="preserve">°C showed that upon MOF hydration, reduced emission at 525.4 eV is compensated by enhanced emission at 522.0 eV. These emission features at 525.4 and 522.0 eV derive from the carboxylate oxygen in-plane lone pair, and out-of-plane π orbitals, respectively (Horikawa </w:t>
      </w:r>
      <w:r>
        <w:rPr>
          <w:i/>
          <w:iCs/>
        </w:rPr>
        <w:t>et al.</w:t>
      </w:r>
      <w:r>
        <w:t xml:space="preserve">, 2009 ; Meyer </w:t>
      </w:r>
      <w:r>
        <w:rPr>
          <w:i/>
          <w:iCs/>
        </w:rPr>
        <w:t>et al</w:t>
      </w:r>
      <w:r>
        <w:t xml:space="preserve">., 2014 ; Eckert </w:t>
      </w:r>
      <w:r>
        <w:rPr>
          <w:i/>
          <w:iCs/>
        </w:rPr>
        <w:t>et al.</w:t>
      </w:r>
      <w:r>
        <w:t xml:space="preserve">, 2022). Such orbital modulation suggests how water adsorption can perturb the out-of-plane electron density by accessing deep-lying π orbitals, which was not observed (SI, Fig. S4) for pore breathing in vacuum solely induced by temperature. While a similar RXES behavior at 534.4 eV excitation was anticipated, this excitation energy already overlaps with the absorption pre-edge for the </w:t>
      </w:r>
      <w:r>
        <w:lastRenderedPageBreak/>
        <w:t xml:space="preserve">water molecule (Horikawa </w:t>
      </w:r>
      <w:r>
        <w:rPr>
          <w:i/>
          <w:iCs/>
        </w:rPr>
        <w:t>et al.</w:t>
      </w:r>
      <w:r>
        <w:t xml:space="preserve">, 2009 ; Meyer </w:t>
      </w:r>
      <w:r>
        <w:rPr>
          <w:i/>
          <w:iCs/>
        </w:rPr>
        <w:t>et al</w:t>
      </w:r>
      <w:r>
        <w:t xml:space="preserve">., 2014 ; Eckert </w:t>
      </w:r>
      <w:r>
        <w:rPr>
          <w:i/>
          <w:iCs/>
        </w:rPr>
        <w:t>et al.</w:t>
      </w:r>
      <w:r>
        <w:t xml:space="preserve">, 2022). Subtracting the contribution of adsorbed water would be difficult </w:t>
      </w:r>
      <w:r w:rsidR="00B97F74">
        <w:t>such that ultimately</w:t>
      </w:r>
      <w:r>
        <w:t xml:space="preserve">, RXES at 532.0 eV excitation was opted for in this case. It is remarked how such difference in orbital occupancy observed under vacuum and ambient conditions could provide alternative pathways for pore breathing, as exemplified in their distinct breathing kinetics, with a facile pore collapse under ambient conditions (Loiseau </w:t>
      </w:r>
      <w:r>
        <w:rPr>
          <w:i/>
          <w:iCs/>
        </w:rPr>
        <w:t>et al</w:t>
      </w:r>
      <w:r>
        <w:t xml:space="preserve">., 2004) </w:t>
      </w:r>
      <w:r w:rsidR="00B97F74">
        <w:t>compared to a</w:t>
      </w:r>
      <w:r>
        <w:t xml:space="preserve"> severe hysteresis behavior under vacuum (Liu </w:t>
      </w:r>
      <w:r>
        <w:rPr>
          <w:i/>
          <w:iCs/>
        </w:rPr>
        <w:t>et al.</w:t>
      </w:r>
      <w:r>
        <w:t>, 2008)</w:t>
      </w:r>
      <w:r>
        <w:rPr>
          <w:rFonts w:eastAsiaTheme="minorEastAsia"/>
          <w:lang w:eastAsia="ja-JP"/>
        </w:rPr>
        <w:t>.</w:t>
      </w:r>
    </w:p>
    <w:p w14:paraId="477D8BBF" w14:textId="77777777" w:rsidR="009A4CF4" w:rsidRPr="005C102C" w:rsidRDefault="009A4CF4" w:rsidP="009A4CF4">
      <w:pPr>
        <w:pStyle w:val="IUCrheading1"/>
        <w:numPr>
          <w:ilvl w:val="0"/>
          <w:numId w:val="0"/>
        </w:numPr>
        <w:jc w:val="center"/>
        <w:rPr>
          <w:rFonts w:eastAsiaTheme="minorEastAsia"/>
          <w:szCs w:val="24"/>
          <w:lang w:eastAsia="ja-JP"/>
        </w:rPr>
      </w:pPr>
      <w:r>
        <w:rPr>
          <w:noProof/>
        </w:rPr>
        <w:drawing>
          <wp:inline distT="0" distB="0" distL="0" distR="0" wp14:anchorId="2972A20B" wp14:editId="2DBF4588">
            <wp:extent cx="5608422" cy="3587750"/>
            <wp:effectExtent l="0" t="0" r="0" b="0"/>
            <wp:docPr id="9850910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1705" cy="3609041"/>
                    </a:xfrm>
                    <a:prstGeom prst="rect">
                      <a:avLst/>
                    </a:prstGeom>
                    <a:noFill/>
                    <a:ln>
                      <a:noFill/>
                    </a:ln>
                  </pic:spPr>
                </pic:pic>
              </a:graphicData>
            </a:graphic>
          </wp:inline>
        </w:drawing>
      </w:r>
    </w:p>
    <w:p w14:paraId="3667068A" w14:textId="77777777" w:rsidR="009A4CF4" w:rsidRDefault="009A4CF4" w:rsidP="009A4CF4">
      <w:pPr>
        <w:pStyle w:val="IUCrfigurecaption"/>
        <w:rPr>
          <w:rFonts w:eastAsiaTheme="minorEastAsia"/>
          <w:lang w:eastAsia="ja-JP"/>
        </w:rPr>
      </w:pPr>
      <w:r>
        <w:rPr>
          <w:rFonts w:eastAsiaTheme="minorEastAsia"/>
          <w:lang w:eastAsia="ja-JP"/>
        </w:rPr>
        <w:t xml:space="preserve">Resonant x-ray emission (RXES) spectra at 532.0 eV excitation for the MIL-53(Al) MOF at 30 </w:t>
      </w:r>
      <w:r>
        <w:t>°C under 60% relative humidity.</w:t>
      </w:r>
    </w:p>
    <w:p w14:paraId="67A99656" w14:textId="77777777" w:rsidR="006718BF" w:rsidRPr="009A4CF4" w:rsidRDefault="006718BF" w:rsidP="006718BF">
      <w:pPr>
        <w:pStyle w:val="IUCrbodytext"/>
        <w:jc w:val="both"/>
        <w:rPr>
          <w:rFonts w:eastAsiaTheme="minorEastAsia"/>
          <w:lang w:eastAsia="ja-JP"/>
        </w:rPr>
      </w:pPr>
    </w:p>
    <w:p w14:paraId="6FF95262" w14:textId="77777777" w:rsidR="006718BF" w:rsidRDefault="006718BF" w:rsidP="006D31F4">
      <w:pPr>
        <w:pStyle w:val="IUCrheading1"/>
        <w:rPr>
          <w:rFonts w:eastAsiaTheme="minorEastAsia"/>
          <w:lang w:eastAsia="ja-JP"/>
        </w:rPr>
      </w:pPr>
      <w:r>
        <w:rPr>
          <w:rFonts w:eastAsiaTheme="minorEastAsia"/>
          <w:lang w:eastAsia="ja-JP"/>
        </w:rPr>
        <w:t>Conclusion</w:t>
      </w:r>
    </w:p>
    <w:p w14:paraId="3658156F" w14:textId="1B646D1C" w:rsidR="006718BF" w:rsidRPr="00FE5C9B" w:rsidRDefault="006718BF" w:rsidP="00FE5C9B">
      <w:pPr>
        <w:pStyle w:val="IUCrbodytext"/>
        <w:jc w:val="both"/>
        <w:rPr>
          <w:rFonts w:eastAsiaTheme="minorEastAsia"/>
          <w:lang w:eastAsia="ja-JP"/>
        </w:rPr>
      </w:pPr>
      <w:r>
        <w:rPr>
          <w:rFonts w:eastAsiaTheme="minorEastAsia"/>
          <w:lang w:eastAsia="ja-JP"/>
        </w:rPr>
        <w:t xml:space="preserve">In summary, electronic perturbation at the ligand carboxylate accompanying pore breathing in the metal-organic framework </w:t>
      </w:r>
      <w:r w:rsidR="00AF59CC">
        <w:rPr>
          <w:rFonts w:eastAsiaTheme="minorEastAsia"/>
          <w:lang w:eastAsia="ja-JP"/>
        </w:rPr>
        <w:t>MIL-53(Al)</w:t>
      </w:r>
      <w:r>
        <w:rPr>
          <w:rFonts w:eastAsiaTheme="minorEastAsia"/>
          <w:lang w:eastAsia="ja-JP"/>
        </w:rPr>
        <w:t xml:space="preserve"> was observed by oxygen </w:t>
      </w:r>
      <w:r>
        <w:rPr>
          <w:rFonts w:eastAsiaTheme="minorEastAsia"/>
          <w:i/>
          <w:iCs/>
          <w:lang w:eastAsia="ja-JP"/>
        </w:rPr>
        <w:t>K</w:t>
      </w:r>
      <w:r>
        <w:rPr>
          <w:rFonts w:eastAsiaTheme="minorEastAsia"/>
          <w:lang w:eastAsia="ja-JP"/>
        </w:rPr>
        <w:t xml:space="preserve"> edge resonant x-ray emission spectroscopy (RXES). Pore breathing in vacuum, solely induced by temperature, involved modulation of orbital occupancy of carboxylate oxygen in-plane lone pair orbitals in either an antisymmetric or a symmetric configuration. In turn, water adsorption into the MOF involved additional perturbation of out-of-plane </w:t>
      </w:r>
      <w:r>
        <w:t>π</w:t>
      </w:r>
      <w:r>
        <w:rPr>
          <w:rFonts w:eastAsiaTheme="minorEastAsia"/>
          <w:lang w:eastAsia="ja-JP"/>
        </w:rPr>
        <w:t xml:space="preserve"> orbitals. More than a mere counterion, the carboxylate ligand bears an electronic structure motif that is intrinsically functional for driving structural change in MOFs. Tailoring the symmetry of the ligand carboxylate electronic states appear</w:t>
      </w:r>
      <w:r w:rsidR="007107CF">
        <w:rPr>
          <w:rFonts w:eastAsiaTheme="minorEastAsia"/>
          <w:lang w:eastAsia="ja-JP"/>
        </w:rPr>
        <w:t>s</w:t>
      </w:r>
      <w:r>
        <w:rPr>
          <w:rFonts w:eastAsiaTheme="minorEastAsia"/>
          <w:lang w:eastAsia="ja-JP"/>
        </w:rPr>
        <w:t xml:space="preserve"> to be a potential route </w:t>
      </w:r>
      <w:r w:rsidR="007107CF">
        <w:rPr>
          <w:rFonts w:eastAsiaTheme="minorEastAsia"/>
          <w:lang w:eastAsia="ja-JP"/>
        </w:rPr>
        <w:t>towards</w:t>
      </w:r>
      <w:r>
        <w:rPr>
          <w:rFonts w:eastAsiaTheme="minorEastAsia"/>
          <w:lang w:eastAsia="ja-JP"/>
        </w:rPr>
        <w:t xml:space="preserve"> the design of novel functional MOFs with controllable structural transitions.</w:t>
      </w:r>
    </w:p>
    <w:p w14:paraId="6C3B19F0" w14:textId="77777777" w:rsidR="006718BF" w:rsidRDefault="006718BF" w:rsidP="006718BF">
      <w:pPr>
        <w:pStyle w:val="IUCracknowledgements"/>
        <w:numPr>
          <w:ilvl w:val="0"/>
          <w:numId w:val="47"/>
        </w:numPr>
        <w:jc w:val="both"/>
        <w:textAlignment w:val="auto"/>
      </w:pPr>
      <w:r>
        <w:lastRenderedPageBreak/>
        <w:t>This work was supported by JSPS KAKENHI Grant Nos. JP19H05717 (Aquatic Functional Materials), JP22H05142 &amp; JP22H05145 (Supraceramics), and JP19K20598. This work was in part carried out in Spring-8 BL07LSU (2018B7401, 2019A7401, 2019B7401) and in BL13XU (2023A1566, 2023A1774). We thank Prof. Kunihisa Sugimoto (Kinki University) for his assistance in powder XRD measurements.</w:t>
      </w:r>
    </w:p>
    <w:p w14:paraId="0348ABA1" w14:textId="77777777" w:rsidR="006718BF" w:rsidRDefault="006718BF" w:rsidP="006718BF">
      <w:pPr>
        <w:pStyle w:val="IUCrbodytext"/>
      </w:pPr>
    </w:p>
    <w:p w14:paraId="15ED0493" w14:textId="77777777" w:rsidR="006718BF" w:rsidRDefault="006718BF" w:rsidP="006718BF">
      <w:pPr>
        <w:pStyle w:val="IUCrheading4"/>
      </w:pPr>
      <w:r>
        <w:t>References</w:t>
      </w:r>
    </w:p>
    <w:p w14:paraId="40D54103" w14:textId="77777777" w:rsidR="006718BF" w:rsidRDefault="006718BF" w:rsidP="006718BF">
      <w:pPr>
        <w:pStyle w:val="IUCrreferences"/>
        <w:rPr>
          <w:rFonts w:eastAsiaTheme="minorEastAsia"/>
          <w:iCs/>
          <w:lang w:eastAsia="ja-JP"/>
        </w:rPr>
      </w:pPr>
      <w:r>
        <w:rPr>
          <w:rFonts w:eastAsiaTheme="minorEastAsia"/>
          <w:lang w:eastAsia="ja-JP"/>
        </w:rPr>
        <w:t xml:space="preserve">Andreeva, A., Le, K., Chen, L., Kellman, M., Hendon, C., Brozek, C. (2020). </w:t>
      </w:r>
      <w:r>
        <w:rPr>
          <w:rFonts w:eastAsiaTheme="minorEastAsia"/>
          <w:i/>
          <w:lang w:eastAsia="ja-JP"/>
        </w:rPr>
        <w:t>J. Am. Chem. Soc.</w:t>
      </w:r>
      <w:r>
        <w:rPr>
          <w:rFonts w:eastAsiaTheme="minorEastAsia"/>
          <w:iCs/>
          <w:lang w:eastAsia="ja-JP"/>
        </w:rPr>
        <w:t xml:space="preserve"> </w:t>
      </w:r>
      <w:r>
        <w:rPr>
          <w:rFonts w:eastAsiaTheme="minorEastAsia"/>
          <w:b/>
          <w:bCs/>
          <w:iCs/>
          <w:lang w:eastAsia="ja-JP"/>
        </w:rPr>
        <w:t>142</w:t>
      </w:r>
      <w:r>
        <w:rPr>
          <w:rFonts w:eastAsiaTheme="minorEastAsia"/>
          <w:iCs/>
          <w:lang w:eastAsia="ja-JP"/>
        </w:rPr>
        <w:t xml:space="preserve">, </w:t>
      </w:r>
    </w:p>
    <w:p w14:paraId="184A142C" w14:textId="793F5401" w:rsidR="006D4621" w:rsidRPr="002934B0" w:rsidRDefault="006718BF" w:rsidP="002934B0">
      <w:pPr>
        <w:pStyle w:val="IUCrreferences"/>
        <w:ind w:leftChars="100" w:left="220"/>
        <w:rPr>
          <w:rFonts w:eastAsiaTheme="minorEastAsia"/>
          <w:iCs/>
          <w:lang w:eastAsia="ja-JP"/>
        </w:rPr>
      </w:pPr>
      <w:r>
        <w:rPr>
          <w:rFonts w:eastAsiaTheme="minorEastAsia"/>
          <w:iCs/>
          <w:lang w:eastAsia="ja-JP"/>
        </w:rPr>
        <w:t>19291-19299</w:t>
      </w:r>
    </w:p>
    <w:p w14:paraId="3FBBE4E6" w14:textId="77231784" w:rsidR="006D4621" w:rsidRDefault="006D4621" w:rsidP="006D4621">
      <w:pPr>
        <w:pStyle w:val="IUCrreferences"/>
        <w:rPr>
          <w:rFonts w:eastAsiaTheme="minorEastAsia"/>
          <w:lang w:eastAsia="ja-JP"/>
        </w:rPr>
      </w:pPr>
      <w:r>
        <w:rPr>
          <w:rFonts w:eastAsiaTheme="minorEastAsia" w:hint="eastAsia"/>
          <w:lang w:eastAsia="ja-JP"/>
        </w:rPr>
        <w:t>B</w:t>
      </w:r>
      <w:r>
        <w:rPr>
          <w:rFonts w:eastAsiaTheme="minorEastAsia"/>
          <w:lang w:eastAsia="ja-JP"/>
        </w:rPr>
        <w:t xml:space="preserve">ara, D., Wilson, C., Mortel, M., Khusniyarov, M., Ling, S., Slater, B., Sproules, S., Forgan, R. </w:t>
      </w:r>
    </w:p>
    <w:p w14:paraId="7666D252" w14:textId="16907A98" w:rsidR="006D4621" w:rsidRPr="006D4621" w:rsidRDefault="006D4621" w:rsidP="006D4621">
      <w:pPr>
        <w:pStyle w:val="IUCrreferences"/>
        <w:ind w:firstLineChars="100" w:firstLine="220"/>
        <w:rPr>
          <w:rFonts w:eastAsiaTheme="minorEastAsia"/>
          <w:lang w:eastAsia="ja-JP"/>
        </w:rPr>
      </w:pPr>
      <w:r>
        <w:rPr>
          <w:rFonts w:eastAsiaTheme="minorEastAsia"/>
          <w:lang w:eastAsia="ja-JP"/>
        </w:rPr>
        <w:t xml:space="preserve">(2019).  </w:t>
      </w:r>
      <w:r>
        <w:rPr>
          <w:rFonts w:eastAsiaTheme="minorEastAsia"/>
          <w:i/>
          <w:iCs/>
          <w:lang w:eastAsia="ja-JP"/>
        </w:rPr>
        <w:t>J. Am. Chem. Soc.</w:t>
      </w:r>
      <w:r>
        <w:rPr>
          <w:rFonts w:eastAsiaTheme="minorEastAsia"/>
          <w:lang w:eastAsia="ja-JP"/>
        </w:rPr>
        <w:t xml:space="preserve"> </w:t>
      </w:r>
      <w:r>
        <w:rPr>
          <w:rFonts w:eastAsiaTheme="minorEastAsia"/>
          <w:b/>
          <w:bCs/>
          <w:lang w:eastAsia="ja-JP"/>
        </w:rPr>
        <w:t>141</w:t>
      </w:r>
      <w:r>
        <w:rPr>
          <w:rFonts w:eastAsiaTheme="minorEastAsia"/>
          <w:lang w:eastAsia="ja-JP"/>
        </w:rPr>
        <w:t xml:space="preserve">, 8346-8357 </w:t>
      </w:r>
    </w:p>
    <w:p w14:paraId="41B40A5F" w14:textId="767B61E0" w:rsidR="006718BF" w:rsidRDefault="006718BF" w:rsidP="006718BF">
      <w:pPr>
        <w:pStyle w:val="IUCrreferences"/>
        <w:rPr>
          <w:rFonts w:eastAsiaTheme="minorEastAsia"/>
          <w:lang w:eastAsia="ja-JP"/>
        </w:rPr>
      </w:pPr>
      <w:r>
        <w:rPr>
          <w:rFonts w:eastAsiaTheme="minorEastAsia"/>
          <w:lang w:eastAsia="ja-JP"/>
        </w:rPr>
        <w:t xml:space="preserve">Bersuker, I. (2013). </w:t>
      </w:r>
      <w:r>
        <w:rPr>
          <w:rFonts w:eastAsiaTheme="minorEastAsia"/>
          <w:i/>
          <w:iCs/>
          <w:lang w:eastAsia="ja-JP"/>
        </w:rPr>
        <w:t>Chem. Rev.</w:t>
      </w:r>
      <w:r>
        <w:rPr>
          <w:rFonts w:eastAsiaTheme="minorEastAsia"/>
          <w:lang w:eastAsia="ja-JP"/>
        </w:rPr>
        <w:t xml:space="preserve"> </w:t>
      </w:r>
      <w:r>
        <w:rPr>
          <w:rFonts w:eastAsiaTheme="minorEastAsia"/>
          <w:b/>
          <w:bCs/>
          <w:lang w:eastAsia="ja-JP"/>
        </w:rPr>
        <w:t>113</w:t>
      </w:r>
      <w:r>
        <w:rPr>
          <w:rFonts w:eastAsiaTheme="minorEastAsia"/>
          <w:lang w:eastAsia="ja-JP"/>
        </w:rPr>
        <w:t>, 1351-1390</w:t>
      </w:r>
    </w:p>
    <w:p w14:paraId="32FEBB80" w14:textId="77777777" w:rsidR="006718BF" w:rsidRDefault="006718BF" w:rsidP="006718BF">
      <w:pPr>
        <w:pStyle w:val="IUCrreferences"/>
        <w:rPr>
          <w:rFonts w:eastAsiaTheme="minorEastAsia"/>
          <w:lang w:eastAsia="ja-JP"/>
        </w:rPr>
      </w:pPr>
      <w:r>
        <w:rPr>
          <w:rFonts w:eastAsiaTheme="minorEastAsia"/>
          <w:lang w:eastAsia="ja-JP"/>
        </w:rPr>
        <w:t xml:space="preserve">Bersuker, I. (2021). </w:t>
      </w:r>
      <w:r>
        <w:rPr>
          <w:rFonts w:eastAsiaTheme="minorEastAsia"/>
          <w:i/>
          <w:iCs/>
          <w:lang w:eastAsia="ja-JP"/>
        </w:rPr>
        <w:t>Chem. Rev.</w:t>
      </w:r>
      <w:r>
        <w:rPr>
          <w:rFonts w:eastAsiaTheme="minorEastAsia"/>
          <w:lang w:eastAsia="ja-JP"/>
        </w:rPr>
        <w:t xml:space="preserve"> </w:t>
      </w:r>
      <w:r>
        <w:rPr>
          <w:rFonts w:eastAsiaTheme="minorEastAsia"/>
          <w:b/>
          <w:bCs/>
          <w:lang w:eastAsia="ja-JP"/>
        </w:rPr>
        <w:t>121</w:t>
      </w:r>
      <w:r>
        <w:rPr>
          <w:rFonts w:eastAsiaTheme="minorEastAsia"/>
          <w:lang w:eastAsia="ja-JP"/>
        </w:rPr>
        <w:t>, 1463-1512</w:t>
      </w:r>
    </w:p>
    <w:p w14:paraId="52A11CF2" w14:textId="77777777" w:rsidR="006718BF" w:rsidRDefault="006718BF" w:rsidP="006718BF">
      <w:pPr>
        <w:pStyle w:val="IUCrreferences"/>
        <w:rPr>
          <w:rFonts w:eastAsiaTheme="minorEastAsia"/>
          <w:lang w:eastAsia="ja-JP"/>
        </w:rPr>
      </w:pPr>
      <w:r>
        <w:rPr>
          <w:rFonts w:eastAsiaTheme="minorEastAsia"/>
          <w:lang w:eastAsia="ja-JP"/>
        </w:rPr>
        <w:t xml:space="preserve">Cockayne, E. (2017). </w:t>
      </w:r>
      <w:r>
        <w:rPr>
          <w:rFonts w:eastAsiaTheme="minorEastAsia"/>
          <w:i/>
          <w:iCs/>
          <w:lang w:eastAsia="ja-JP"/>
        </w:rPr>
        <w:t>J. Phys. Chem. C.</w:t>
      </w:r>
      <w:r>
        <w:rPr>
          <w:rFonts w:eastAsiaTheme="minorEastAsia"/>
          <w:lang w:eastAsia="ja-JP"/>
        </w:rPr>
        <w:t xml:space="preserve"> </w:t>
      </w:r>
      <w:r>
        <w:rPr>
          <w:rFonts w:eastAsiaTheme="minorEastAsia"/>
          <w:b/>
          <w:bCs/>
          <w:lang w:eastAsia="ja-JP"/>
        </w:rPr>
        <w:t>121</w:t>
      </w:r>
      <w:r>
        <w:rPr>
          <w:rFonts w:eastAsiaTheme="minorEastAsia"/>
          <w:lang w:eastAsia="ja-JP"/>
        </w:rPr>
        <w:t>, 4312-4317</w:t>
      </w:r>
    </w:p>
    <w:p w14:paraId="09E04DF4" w14:textId="77777777" w:rsidR="006718BF" w:rsidRDefault="006718BF" w:rsidP="006718BF">
      <w:pPr>
        <w:pStyle w:val="IUCrreferences"/>
        <w:rPr>
          <w:rFonts w:eastAsiaTheme="minorEastAsia"/>
          <w:lang w:eastAsia="ja-JP"/>
        </w:rPr>
      </w:pPr>
      <w:r>
        <w:rPr>
          <w:rFonts w:eastAsiaTheme="minorEastAsia"/>
          <w:lang w:eastAsia="ja-JP"/>
        </w:rPr>
        <w:t xml:space="preserve">Coudert, F., Jeffroy, M., Fuchs, A., Boutin, A., Mellot-Draznieks, C. (2008). </w:t>
      </w:r>
      <w:r>
        <w:rPr>
          <w:rFonts w:eastAsiaTheme="minorEastAsia"/>
          <w:i/>
          <w:iCs/>
          <w:lang w:eastAsia="ja-JP"/>
        </w:rPr>
        <w:t>J. Am. Chem. Soc.</w:t>
      </w:r>
      <w:r>
        <w:rPr>
          <w:rFonts w:eastAsiaTheme="minorEastAsia"/>
          <w:lang w:eastAsia="ja-JP"/>
        </w:rPr>
        <w:t xml:space="preserve"> </w:t>
      </w:r>
      <w:r>
        <w:rPr>
          <w:rFonts w:eastAsiaTheme="minorEastAsia"/>
          <w:b/>
          <w:bCs/>
          <w:lang w:eastAsia="ja-JP"/>
        </w:rPr>
        <w:t>130</w:t>
      </w:r>
      <w:r>
        <w:rPr>
          <w:rFonts w:eastAsiaTheme="minorEastAsia"/>
          <w:lang w:eastAsia="ja-JP"/>
        </w:rPr>
        <w:t xml:space="preserve">, </w:t>
      </w:r>
    </w:p>
    <w:p w14:paraId="7D1B3B8A" w14:textId="77777777" w:rsidR="006718BF" w:rsidRDefault="006718BF" w:rsidP="006718BF">
      <w:pPr>
        <w:pStyle w:val="IUCrreferences"/>
        <w:ind w:leftChars="100" w:left="220"/>
        <w:rPr>
          <w:rFonts w:eastAsiaTheme="minorEastAsia"/>
          <w:lang w:eastAsia="ja-JP"/>
        </w:rPr>
      </w:pPr>
      <w:r>
        <w:rPr>
          <w:rFonts w:eastAsiaTheme="minorEastAsia"/>
          <w:lang w:eastAsia="ja-JP"/>
        </w:rPr>
        <w:t>14294-14302</w:t>
      </w:r>
    </w:p>
    <w:p w14:paraId="18C81C4A" w14:textId="77777777" w:rsidR="006718BF" w:rsidRDefault="006718BF" w:rsidP="006718BF">
      <w:pPr>
        <w:pStyle w:val="IUCrreferences"/>
        <w:rPr>
          <w:rFonts w:eastAsiaTheme="minorEastAsia"/>
          <w:lang w:eastAsia="ja-JP"/>
        </w:rPr>
      </w:pPr>
      <w:r>
        <w:rPr>
          <w:rFonts w:eastAsiaTheme="minorEastAsia"/>
          <w:lang w:eastAsia="ja-JP"/>
        </w:rPr>
        <w:t xml:space="preserve">Coudert, F., Boutin, A., Fuchs, A., Neimark, A. (2013). </w:t>
      </w:r>
      <w:r>
        <w:rPr>
          <w:rFonts w:eastAsiaTheme="minorEastAsia"/>
          <w:i/>
          <w:iCs/>
          <w:lang w:eastAsia="ja-JP"/>
        </w:rPr>
        <w:t xml:space="preserve">J. Phys. Chem. Lett. </w:t>
      </w:r>
      <w:r>
        <w:rPr>
          <w:rFonts w:eastAsiaTheme="minorEastAsia"/>
          <w:b/>
          <w:bCs/>
          <w:lang w:eastAsia="ja-JP"/>
        </w:rPr>
        <w:t>4</w:t>
      </w:r>
      <w:r>
        <w:rPr>
          <w:rFonts w:eastAsiaTheme="minorEastAsia"/>
          <w:lang w:eastAsia="ja-JP"/>
        </w:rPr>
        <w:t>, 3198-3205</w:t>
      </w:r>
    </w:p>
    <w:p w14:paraId="4FF1FFCD" w14:textId="77777777" w:rsidR="006718BF" w:rsidRDefault="006718BF" w:rsidP="006718BF">
      <w:pPr>
        <w:pStyle w:val="IUCrreferences"/>
        <w:rPr>
          <w:rFonts w:eastAsiaTheme="minorEastAsia"/>
          <w:lang w:eastAsia="ja-JP"/>
        </w:rPr>
      </w:pPr>
      <w:r>
        <w:rPr>
          <w:rFonts w:eastAsiaTheme="minorEastAsia"/>
          <w:lang w:eastAsia="ja-JP"/>
        </w:rPr>
        <w:t xml:space="preserve">Coudert, F., Ortiz, A., Haigis, V., Bousquet, D., Fuchs, A., Ballandras, A., Weber, G., Bezverkhyy, I., </w:t>
      </w:r>
    </w:p>
    <w:p w14:paraId="11EF28CD" w14:textId="77777777" w:rsidR="006718BF" w:rsidRDefault="006718BF" w:rsidP="006718BF">
      <w:pPr>
        <w:pStyle w:val="IUCrreferences"/>
        <w:ind w:leftChars="100" w:left="220"/>
        <w:rPr>
          <w:rFonts w:eastAsiaTheme="minorEastAsia"/>
          <w:lang w:eastAsia="ja-JP"/>
        </w:rPr>
      </w:pPr>
      <w:r>
        <w:rPr>
          <w:rFonts w:eastAsiaTheme="minorEastAsia"/>
          <w:lang w:eastAsia="ja-JP"/>
        </w:rPr>
        <w:t xml:space="preserve">Geoffroy, N., Bellat, J., Ortiz, G., Chaplais, G., Patarin, J., Boutin, A. (2014). </w:t>
      </w:r>
      <w:r>
        <w:rPr>
          <w:rFonts w:eastAsiaTheme="minorEastAsia"/>
          <w:i/>
          <w:iCs/>
          <w:lang w:eastAsia="ja-JP"/>
        </w:rPr>
        <w:t>J. Phys. Chem. C.</w:t>
      </w:r>
      <w:r>
        <w:rPr>
          <w:rFonts w:eastAsiaTheme="minorEastAsia"/>
          <w:lang w:eastAsia="ja-JP"/>
        </w:rPr>
        <w:t xml:space="preserve"> </w:t>
      </w:r>
      <w:r>
        <w:rPr>
          <w:rFonts w:eastAsiaTheme="minorEastAsia"/>
          <w:b/>
          <w:bCs/>
          <w:lang w:eastAsia="ja-JP"/>
        </w:rPr>
        <w:t>118</w:t>
      </w:r>
      <w:r>
        <w:rPr>
          <w:rFonts w:eastAsiaTheme="minorEastAsia"/>
          <w:lang w:eastAsia="ja-JP"/>
        </w:rPr>
        <w:t>, 5397- 5405</w:t>
      </w:r>
    </w:p>
    <w:p w14:paraId="1EFD0556" w14:textId="77777777" w:rsidR="006718BF" w:rsidRDefault="006718BF" w:rsidP="006718BF">
      <w:pPr>
        <w:pStyle w:val="IUCrreferences"/>
        <w:rPr>
          <w:rFonts w:eastAsiaTheme="minorEastAsia"/>
          <w:lang w:eastAsia="ja-JP"/>
        </w:rPr>
      </w:pPr>
      <w:r>
        <w:rPr>
          <w:rFonts w:eastAsiaTheme="minorEastAsia"/>
          <w:lang w:eastAsia="ja-JP"/>
        </w:rPr>
        <w:t xml:space="preserve">Eckert, S., Mascarenhas, E., Mitzner, R., Jay, R., Pietzsch, A., Fondell, M., da Cruz, V., Fohlisch, A. </w:t>
      </w:r>
    </w:p>
    <w:p w14:paraId="6BC264F1" w14:textId="77777777" w:rsidR="006718BF" w:rsidRDefault="006718BF" w:rsidP="006718BF">
      <w:pPr>
        <w:pStyle w:val="IUCrreferences"/>
        <w:ind w:leftChars="100" w:left="220"/>
        <w:rPr>
          <w:rFonts w:eastAsiaTheme="minorEastAsia"/>
        </w:rPr>
      </w:pPr>
      <w:r>
        <w:rPr>
          <w:rFonts w:eastAsiaTheme="minorEastAsia"/>
          <w:lang w:eastAsia="ja-JP"/>
        </w:rPr>
        <w:t xml:space="preserve">(2022). </w:t>
      </w:r>
      <w:r>
        <w:rPr>
          <w:rFonts w:eastAsiaTheme="minorEastAsia"/>
          <w:i/>
          <w:iCs/>
          <w:lang w:eastAsia="ja-JP"/>
        </w:rPr>
        <w:t>Inorg. Chem.</w:t>
      </w:r>
      <w:r>
        <w:rPr>
          <w:rFonts w:eastAsiaTheme="minorEastAsia"/>
          <w:lang w:eastAsia="ja-JP"/>
        </w:rPr>
        <w:t xml:space="preserve"> </w:t>
      </w:r>
      <w:r>
        <w:rPr>
          <w:rFonts w:eastAsiaTheme="minorEastAsia"/>
          <w:b/>
          <w:bCs/>
        </w:rPr>
        <w:t>61</w:t>
      </w:r>
      <w:r>
        <w:rPr>
          <w:rFonts w:eastAsiaTheme="minorEastAsia"/>
        </w:rPr>
        <w:t>, 10321-10328</w:t>
      </w:r>
    </w:p>
    <w:p w14:paraId="17A39C96" w14:textId="77777777" w:rsidR="001C4A3A" w:rsidRDefault="00131608" w:rsidP="006718BF">
      <w:pPr>
        <w:pStyle w:val="IUCrreferences"/>
        <w:rPr>
          <w:rFonts w:eastAsiaTheme="minorEastAsia"/>
          <w:lang w:eastAsia="ja-JP"/>
        </w:rPr>
      </w:pPr>
      <w:r>
        <w:rPr>
          <w:rFonts w:eastAsiaTheme="minorEastAsia" w:hint="eastAsia"/>
          <w:lang w:eastAsia="ja-JP"/>
        </w:rPr>
        <w:t>E</w:t>
      </w:r>
      <w:r>
        <w:rPr>
          <w:rFonts w:eastAsiaTheme="minorEastAsia"/>
          <w:lang w:eastAsia="ja-JP"/>
        </w:rPr>
        <w:t xml:space="preserve">rtan, E., Kimberg, V., Gelmukhanov, F., Hennies, F., Rubensson, J., Schmitt, T., Strocov, V., Zhou, </w:t>
      </w:r>
    </w:p>
    <w:p w14:paraId="739C1BED" w14:textId="49D1FB54" w:rsidR="00131608" w:rsidRPr="00131608" w:rsidRDefault="00131608" w:rsidP="001C4A3A">
      <w:pPr>
        <w:pStyle w:val="IUCrreferences"/>
        <w:ind w:leftChars="100" w:left="220"/>
        <w:rPr>
          <w:rFonts w:eastAsiaTheme="minorEastAsia"/>
          <w:lang w:eastAsia="ja-JP"/>
        </w:rPr>
      </w:pPr>
      <w:r>
        <w:rPr>
          <w:rFonts w:eastAsiaTheme="minorEastAsia"/>
          <w:lang w:eastAsia="ja-JP"/>
        </w:rPr>
        <w:t xml:space="preserve">K., Iannuzzi, M., Fohlisch, A., Odelius, M., Pietzsch, A. (2017). </w:t>
      </w:r>
      <w:r>
        <w:rPr>
          <w:rFonts w:eastAsiaTheme="minorEastAsia"/>
          <w:i/>
          <w:iCs/>
          <w:lang w:eastAsia="ja-JP"/>
        </w:rPr>
        <w:t>Phys. Rev. B</w:t>
      </w:r>
      <w:r>
        <w:rPr>
          <w:rFonts w:eastAsiaTheme="minorEastAsia"/>
          <w:lang w:eastAsia="ja-JP"/>
        </w:rPr>
        <w:t xml:space="preserve">. </w:t>
      </w:r>
      <w:r>
        <w:rPr>
          <w:rFonts w:eastAsiaTheme="minorEastAsia"/>
          <w:b/>
          <w:bCs/>
          <w:lang w:eastAsia="ja-JP"/>
        </w:rPr>
        <w:t>95</w:t>
      </w:r>
      <w:r>
        <w:rPr>
          <w:rFonts w:eastAsiaTheme="minorEastAsia"/>
          <w:lang w:eastAsia="ja-JP"/>
        </w:rPr>
        <w:t>, 144301</w:t>
      </w:r>
    </w:p>
    <w:p w14:paraId="1BA7744E" w14:textId="68D2A1F5" w:rsidR="006718BF" w:rsidRDefault="006718BF" w:rsidP="006718BF">
      <w:pPr>
        <w:pStyle w:val="IUCrreferences"/>
        <w:rPr>
          <w:rFonts w:eastAsiaTheme="minorEastAsia"/>
          <w:lang w:eastAsia="ja-JP"/>
        </w:rPr>
      </w:pPr>
      <w:r>
        <w:rPr>
          <w:rFonts w:eastAsiaTheme="minorEastAsia"/>
          <w:lang w:eastAsia="ja-JP"/>
        </w:rPr>
        <w:t xml:space="preserve">Gelmukhanov, F., Agren, H. (1994). </w:t>
      </w:r>
      <w:r>
        <w:rPr>
          <w:rFonts w:eastAsiaTheme="minorEastAsia"/>
          <w:i/>
          <w:iCs/>
          <w:lang w:eastAsia="ja-JP"/>
        </w:rPr>
        <w:t>Phys. Rev. A.</w:t>
      </w:r>
      <w:r>
        <w:rPr>
          <w:rFonts w:eastAsiaTheme="minorEastAsia"/>
          <w:lang w:eastAsia="ja-JP"/>
        </w:rPr>
        <w:t xml:space="preserve"> </w:t>
      </w:r>
      <w:r>
        <w:rPr>
          <w:rFonts w:eastAsiaTheme="minorEastAsia"/>
          <w:b/>
          <w:bCs/>
          <w:lang w:eastAsia="ja-JP"/>
        </w:rPr>
        <w:t>49</w:t>
      </w:r>
      <w:r>
        <w:rPr>
          <w:rFonts w:eastAsiaTheme="minorEastAsia"/>
          <w:lang w:eastAsia="ja-JP"/>
        </w:rPr>
        <w:t>, 4378-4389</w:t>
      </w:r>
    </w:p>
    <w:p w14:paraId="02258678" w14:textId="77777777" w:rsidR="006718BF" w:rsidRDefault="006718BF" w:rsidP="006718BF">
      <w:pPr>
        <w:pStyle w:val="IUCrreferences"/>
        <w:rPr>
          <w:rFonts w:eastAsiaTheme="minorEastAsia"/>
          <w:lang w:eastAsia="ja-JP"/>
        </w:rPr>
      </w:pPr>
      <w:r>
        <w:rPr>
          <w:rFonts w:eastAsiaTheme="minorEastAsia"/>
          <w:lang w:eastAsia="ja-JP"/>
        </w:rPr>
        <w:t xml:space="preserve">Grinnell, C., Samokhvalov. (2018) </w:t>
      </w:r>
      <w:r>
        <w:rPr>
          <w:rFonts w:eastAsiaTheme="minorEastAsia"/>
          <w:i/>
          <w:iCs/>
          <w:lang w:eastAsia="ja-JP"/>
        </w:rPr>
        <w:t xml:space="preserve">Phys. Chem. Chem. Phys. </w:t>
      </w:r>
      <w:r>
        <w:rPr>
          <w:rFonts w:eastAsiaTheme="minorEastAsia"/>
          <w:b/>
          <w:bCs/>
          <w:lang w:eastAsia="ja-JP"/>
        </w:rPr>
        <w:t>20</w:t>
      </w:r>
      <w:r>
        <w:rPr>
          <w:rFonts w:eastAsiaTheme="minorEastAsia"/>
          <w:lang w:eastAsia="ja-JP"/>
        </w:rPr>
        <w:t>, 26947-26956</w:t>
      </w:r>
    </w:p>
    <w:p w14:paraId="74A44A8F" w14:textId="77777777" w:rsidR="006718BF" w:rsidRDefault="006718BF" w:rsidP="006718BF">
      <w:pPr>
        <w:pStyle w:val="IUCrreferences"/>
        <w:rPr>
          <w:rFonts w:eastAsiaTheme="minorEastAsia"/>
          <w:lang w:eastAsia="ja-JP"/>
        </w:rPr>
      </w:pPr>
      <w:r>
        <w:rPr>
          <w:rFonts w:eastAsiaTheme="minorEastAsia"/>
          <w:lang w:eastAsia="ja-JP"/>
        </w:rPr>
        <w:t xml:space="preserve">Harada, Y., Kobayashi, M., Niwa, H., Senba, Y., Ohashi, H., Tokushima, T., Horikawa, Y., Shin, S., </w:t>
      </w:r>
    </w:p>
    <w:p w14:paraId="5DCD4D28" w14:textId="77777777" w:rsidR="006718BF" w:rsidRDefault="006718BF" w:rsidP="006718BF">
      <w:pPr>
        <w:pStyle w:val="IUCrreferences"/>
        <w:ind w:leftChars="100" w:left="220"/>
        <w:rPr>
          <w:rFonts w:eastAsiaTheme="minorEastAsia"/>
          <w:lang w:eastAsia="ja-JP"/>
        </w:rPr>
      </w:pPr>
      <w:r>
        <w:rPr>
          <w:rFonts w:eastAsiaTheme="minorEastAsia"/>
          <w:lang w:eastAsia="ja-JP"/>
        </w:rPr>
        <w:t xml:space="preserve">Oshima, M. (2012). </w:t>
      </w:r>
      <w:r>
        <w:rPr>
          <w:rFonts w:eastAsiaTheme="minorEastAsia"/>
          <w:i/>
          <w:iCs/>
          <w:lang w:eastAsia="ja-JP"/>
        </w:rPr>
        <w:t>Rev. Sci. Instrum.</w:t>
      </w:r>
      <w:r>
        <w:rPr>
          <w:rFonts w:eastAsiaTheme="minorEastAsia"/>
          <w:lang w:eastAsia="ja-JP"/>
        </w:rPr>
        <w:t xml:space="preserve"> </w:t>
      </w:r>
      <w:r>
        <w:rPr>
          <w:rFonts w:eastAsiaTheme="minorEastAsia"/>
          <w:b/>
          <w:bCs/>
          <w:lang w:eastAsia="ja-JP"/>
        </w:rPr>
        <w:t>83</w:t>
      </w:r>
      <w:r>
        <w:rPr>
          <w:rFonts w:eastAsiaTheme="minorEastAsia"/>
          <w:lang w:eastAsia="ja-JP"/>
        </w:rPr>
        <w:t>, 01311</w:t>
      </w:r>
    </w:p>
    <w:p w14:paraId="2815D605" w14:textId="77777777" w:rsidR="006718BF" w:rsidRDefault="006718BF" w:rsidP="006718BF">
      <w:pPr>
        <w:pStyle w:val="IUCrreferences"/>
        <w:rPr>
          <w:rFonts w:eastAsiaTheme="minorEastAsia"/>
          <w:lang w:eastAsia="ja-JP"/>
        </w:rPr>
      </w:pPr>
      <w:r>
        <w:rPr>
          <w:rFonts w:eastAsiaTheme="minorEastAsia"/>
          <w:lang w:eastAsia="ja-JP"/>
        </w:rPr>
        <w:t xml:space="preserve">Hennies, F., Polyutov, S., Minkov, I., Pietzsch, A., Nagasono, M., Agren, H., Triguero, L., </w:t>
      </w:r>
    </w:p>
    <w:p w14:paraId="68C0332A" w14:textId="77777777" w:rsidR="006718BF" w:rsidRDefault="006718BF" w:rsidP="006718BF">
      <w:pPr>
        <w:pStyle w:val="IUCrreferences"/>
        <w:ind w:leftChars="100" w:left="220"/>
        <w:rPr>
          <w:rFonts w:eastAsiaTheme="minorEastAsia"/>
          <w:lang w:eastAsia="ja-JP"/>
        </w:rPr>
      </w:pPr>
      <w:r>
        <w:rPr>
          <w:rFonts w:eastAsiaTheme="minorEastAsia"/>
          <w:lang w:eastAsia="ja-JP"/>
        </w:rPr>
        <w:t xml:space="preserve">Piancastelli, M., Wurth, W., Gelmukhanov, F., Fohlisch, A. (2007). </w:t>
      </w:r>
      <w:r>
        <w:rPr>
          <w:rFonts w:eastAsiaTheme="minorEastAsia"/>
          <w:i/>
          <w:iCs/>
          <w:lang w:eastAsia="ja-JP"/>
        </w:rPr>
        <w:t>Phys. Rev. A.</w:t>
      </w:r>
      <w:r>
        <w:rPr>
          <w:rFonts w:eastAsiaTheme="minorEastAsia"/>
          <w:lang w:eastAsia="ja-JP"/>
        </w:rPr>
        <w:t xml:space="preserve"> </w:t>
      </w:r>
      <w:r>
        <w:rPr>
          <w:rFonts w:eastAsiaTheme="minorEastAsia"/>
          <w:b/>
          <w:bCs/>
          <w:lang w:eastAsia="ja-JP"/>
        </w:rPr>
        <w:t>76</w:t>
      </w:r>
      <w:r>
        <w:rPr>
          <w:rFonts w:eastAsiaTheme="minorEastAsia"/>
          <w:lang w:eastAsia="ja-JP"/>
        </w:rPr>
        <w:t>, 032595</w:t>
      </w:r>
    </w:p>
    <w:p w14:paraId="3077B8B0" w14:textId="77777777" w:rsidR="006718BF" w:rsidRDefault="006718BF" w:rsidP="006718BF">
      <w:pPr>
        <w:pStyle w:val="IUCrreferences"/>
        <w:rPr>
          <w:rFonts w:eastAsiaTheme="minorEastAsia"/>
          <w:lang w:eastAsia="ja-JP"/>
        </w:rPr>
      </w:pPr>
      <w:r>
        <w:rPr>
          <w:rFonts w:eastAsiaTheme="minorEastAsia"/>
          <w:lang w:eastAsia="ja-JP"/>
        </w:rPr>
        <w:t xml:space="preserve">Hoffmann, A., Vanduyfhuys, L., Nevjestic, I., Wieme, J., Rogge, S., Depauw, H., Voort, P., </w:t>
      </w:r>
    </w:p>
    <w:p w14:paraId="7BF4F706" w14:textId="77777777" w:rsidR="006718BF" w:rsidRDefault="006718BF" w:rsidP="006718BF">
      <w:pPr>
        <w:pStyle w:val="IUCrreferences"/>
        <w:ind w:leftChars="100" w:left="220"/>
        <w:rPr>
          <w:rFonts w:eastAsiaTheme="minorEastAsia"/>
          <w:lang w:eastAsia="ja-JP"/>
        </w:rPr>
      </w:pPr>
      <w:r>
        <w:rPr>
          <w:rFonts w:eastAsiaTheme="minorEastAsia"/>
          <w:lang w:eastAsia="ja-JP"/>
        </w:rPr>
        <w:t xml:space="preserve">Vrielinck, H., Speybroeck, V. (2018). </w:t>
      </w:r>
      <w:r>
        <w:rPr>
          <w:rFonts w:eastAsiaTheme="minorEastAsia"/>
          <w:i/>
          <w:iCs/>
          <w:lang w:eastAsia="ja-JP"/>
        </w:rPr>
        <w:t>J. Phys. Chem. C.</w:t>
      </w:r>
      <w:r>
        <w:rPr>
          <w:rFonts w:eastAsiaTheme="minorEastAsia"/>
          <w:lang w:eastAsia="ja-JP"/>
        </w:rPr>
        <w:t xml:space="preserve"> </w:t>
      </w:r>
      <w:r>
        <w:rPr>
          <w:rFonts w:eastAsiaTheme="minorEastAsia"/>
          <w:b/>
          <w:bCs/>
          <w:lang w:eastAsia="ja-JP"/>
        </w:rPr>
        <w:t>122</w:t>
      </w:r>
      <w:r>
        <w:rPr>
          <w:rFonts w:eastAsiaTheme="minorEastAsia"/>
          <w:lang w:eastAsia="ja-JP"/>
        </w:rPr>
        <w:t>, 2734-2746</w:t>
      </w:r>
    </w:p>
    <w:p w14:paraId="7FB59F21" w14:textId="77777777" w:rsidR="006718BF" w:rsidRDefault="006718BF" w:rsidP="006718BF">
      <w:pPr>
        <w:pStyle w:val="IUCrreferences"/>
        <w:rPr>
          <w:rFonts w:eastAsiaTheme="minorEastAsia"/>
          <w:lang w:eastAsia="ja-JP"/>
        </w:rPr>
      </w:pPr>
      <w:r>
        <w:rPr>
          <w:rFonts w:eastAsiaTheme="minorEastAsia"/>
          <w:lang w:eastAsia="ja-JP"/>
        </w:rPr>
        <w:t xml:space="preserve">Horikawa, Y., Tokushima, T., Harada, Y., Takahashi , O., Chainani, A., Senba, Y., Ohashi, H., </w:t>
      </w:r>
    </w:p>
    <w:p w14:paraId="75A6C23A" w14:textId="77777777" w:rsidR="006718BF" w:rsidRDefault="006718BF" w:rsidP="006718BF">
      <w:pPr>
        <w:pStyle w:val="IUCrreferences"/>
        <w:ind w:leftChars="100" w:left="220"/>
        <w:rPr>
          <w:rFonts w:eastAsiaTheme="minorEastAsia"/>
          <w:lang w:eastAsia="ja-JP"/>
        </w:rPr>
      </w:pPr>
      <w:r>
        <w:rPr>
          <w:rFonts w:eastAsiaTheme="minorEastAsia"/>
          <w:lang w:eastAsia="ja-JP"/>
        </w:rPr>
        <w:t xml:space="preserve">Hiraya, A., Shin, S. (2009). </w:t>
      </w:r>
      <w:r>
        <w:rPr>
          <w:rFonts w:eastAsiaTheme="minorEastAsia"/>
          <w:i/>
          <w:iCs/>
          <w:lang w:eastAsia="ja-JP"/>
        </w:rPr>
        <w:t>Phys. Chem. Chem. Phys.</w:t>
      </w:r>
      <w:r>
        <w:rPr>
          <w:rFonts w:eastAsiaTheme="minorEastAsia"/>
          <w:lang w:eastAsia="ja-JP"/>
        </w:rPr>
        <w:t xml:space="preserve"> </w:t>
      </w:r>
      <w:r>
        <w:rPr>
          <w:rFonts w:eastAsiaTheme="minorEastAsia"/>
          <w:b/>
          <w:bCs/>
          <w:lang w:eastAsia="ja-JP"/>
        </w:rPr>
        <w:t>11</w:t>
      </w:r>
      <w:r>
        <w:rPr>
          <w:rFonts w:eastAsiaTheme="minorEastAsia"/>
          <w:lang w:eastAsia="ja-JP"/>
        </w:rPr>
        <w:t>, 8676-8679</w:t>
      </w:r>
    </w:p>
    <w:p w14:paraId="321F7663" w14:textId="2E289378" w:rsidR="00E56E4B" w:rsidRDefault="00E56E4B" w:rsidP="006718BF">
      <w:pPr>
        <w:pStyle w:val="IUCrreferences"/>
        <w:rPr>
          <w:rFonts w:eastAsiaTheme="minorEastAsia"/>
          <w:lang w:eastAsia="ja-JP"/>
        </w:rPr>
      </w:pPr>
      <w:r>
        <w:rPr>
          <w:rFonts w:eastAsiaTheme="minorEastAsia"/>
          <w:lang w:eastAsia="ja-JP"/>
        </w:rPr>
        <w:t xml:space="preserve">Horike, S., Shimomura, S., Kitagawa, S. (2009). </w:t>
      </w:r>
      <w:r>
        <w:rPr>
          <w:rFonts w:eastAsiaTheme="minorEastAsia"/>
          <w:i/>
          <w:iCs/>
          <w:lang w:eastAsia="ja-JP"/>
        </w:rPr>
        <w:t>Nat. Chem.</w:t>
      </w:r>
      <w:r>
        <w:rPr>
          <w:rFonts w:eastAsiaTheme="minorEastAsia"/>
          <w:lang w:eastAsia="ja-JP"/>
        </w:rPr>
        <w:t xml:space="preserve"> </w:t>
      </w:r>
      <w:r>
        <w:rPr>
          <w:rFonts w:eastAsiaTheme="minorEastAsia"/>
          <w:b/>
          <w:bCs/>
          <w:lang w:eastAsia="ja-JP"/>
        </w:rPr>
        <w:t>1</w:t>
      </w:r>
      <w:r>
        <w:rPr>
          <w:rFonts w:eastAsiaTheme="minorEastAsia"/>
          <w:lang w:eastAsia="ja-JP"/>
        </w:rPr>
        <w:t>, 695-704</w:t>
      </w:r>
    </w:p>
    <w:p w14:paraId="1976140C" w14:textId="063ECBDC" w:rsidR="006718BF" w:rsidRDefault="006718BF" w:rsidP="006718BF">
      <w:pPr>
        <w:pStyle w:val="IUCrreferences"/>
        <w:rPr>
          <w:rFonts w:eastAsiaTheme="minorEastAsia"/>
          <w:lang w:eastAsia="ja-JP"/>
        </w:rPr>
      </w:pPr>
      <w:r>
        <w:rPr>
          <w:rFonts w:eastAsiaTheme="minorEastAsia"/>
          <w:lang w:eastAsia="ja-JP"/>
        </w:rPr>
        <w:lastRenderedPageBreak/>
        <w:t xml:space="preserve">Liu, Y., Her, J., Dailly, A., Ramirez-Cuesta, A., Neumann, D., Brown, C. (2008). </w:t>
      </w:r>
      <w:r>
        <w:rPr>
          <w:rFonts w:eastAsiaTheme="minorEastAsia"/>
          <w:i/>
          <w:iCs/>
          <w:lang w:eastAsia="ja-JP"/>
        </w:rPr>
        <w:t xml:space="preserve">J. Am. Chem. Soc. </w:t>
      </w:r>
    </w:p>
    <w:p w14:paraId="61EBD644" w14:textId="77777777" w:rsidR="006718BF" w:rsidRDefault="006718BF" w:rsidP="006718BF">
      <w:pPr>
        <w:pStyle w:val="IUCrreferences"/>
        <w:ind w:leftChars="100" w:left="220"/>
        <w:rPr>
          <w:rFonts w:eastAsiaTheme="minorEastAsia"/>
          <w:lang w:eastAsia="ja-JP"/>
        </w:rPr>
      </w:pPr>
      <w:r>
        <w:rPr>
          <w:rFonts w:eastAsiaTheme="minorEastAsia"/>
          <w:b/>
          <w:bCs/>
          <w:lang w:eastAsia="ja-JP"/>
        </w:rPr>
        <w:t>130</w:t>
      </w:r>
      <w:r>
        <w:rPr>
          <w:rFonts w:eastAsiaTheme="minorEastAsia"/>
          <w:lang w:eastAsia="ja-JP"/>
        </w:rPr>
        <w:t>, 11813-11818</w:t>
      </w:r>
    </w:p>
    <w:p w14:paraId="2F87DA9A" w14:textId="77777777" w:rsidR="006718BF" w:rsidRDefault="006718BF" w:rsidP="006718BF">
      <w:pPr>
        <w:pStyle w:val="IUCrreferences"/>
        <w:rPr>
          <w:rFonts w:eastAsiaTheme="minorEastAsia"/>
          <w:lang w:eastAsia="ja-JP"/>
        </w:rPr>
      </w:pPr>
      <w:r>
        <w:rPr>
          <w:rFonts w:eastAsiaTheme="minorEastAsia"/>
          <w:lang w:eastAsia="ja-JP"/>
        </w:rPr>
        <w:t xml:space="preserve">Loiseau, T., Serre, C., Huguenard, C., Fink, G., Taluelle, F., Henry, M., Bataille, T., Ferey, G. (2004). </w:t>
      </w:r>
    </w:p>
    <w:p w14:paraId="09DA0F01" w14:textId="77777777" w:rsidR="006718BF" w:rsidRDefault="006718BF" w:rsidP="006718BF">
      <w:pPr>
        <w:pStyle w:val="IUCrreferences"/>
        <w:ind w:leftChars="100" w:left="220"/>
        <w:rPr>
          <w:rFonts w:eastAsiaTheme="minorEastAsia"/>
          <w:i/>
          <w:iCs/>
          <w:lang w:eastAsia="ja-JP"/>
        </w:rPr>
      </w:pPr>
      <w:r>
        <w:rPr>
          <w:rFonts w:eastAsiaTheme="minorEastAsia"/>
          <w:i/>
          <w:iCs/>
          <w:lang w:eastAsia="ja-JP"/>
        </w:rPr>
        <w:t xml:space="preserve">Chem. Eur. J. </w:t>
      </w:r>
      <w:r>
        <w:rPr>
          <w:rFonts w:eastAsiaTheme="minorEastAsia"/>
          <w:b/>
          <w:bCs/>
          <w:lang w:eastAsia="ja-JP"/>
        </w:rPr>
        <w:t>10</w:t>
      </w:r>
      <w:r>
        <w:rPr>
          <w:rFonts w:eastAsiaTheme="minorEastAsia"/>
          <w:lang w:eastAsia="ja-JP"/>
        </w:rPr>
        <w:t>, 1373-1382</w:t>
      </w:r>
    </w:p>
    <w:p w14:paraId="0D7E50AA" w14:textId="77777777" w:rsidR="006718BF" w:rsidRDefault="006718BF" w:rsidP="006718BF">
      <w:pPr>
        <w:pStyle w:val="IUCrreferences"/>
        <w:rPr>
          <w:rFonts w:eastAsiaTheme="minorEastAsia"/>
          <w:lang w:eastAsia="ja-JP"/>
        </w:rPr>
      </w:pPr>
      <w:r>
        <w:rPr>
          <w:rFonts w:eastAsiaTheme="minorEastAsia"/>
          <w:lang w:eastAsia="ja-JP"/>
        </w:rPr>
        <w:t xml:space="preserve">Meyer, F., Blum, M., Benkert, A., Hauschild, D., Nagarajan, S., Wilks, R., Andersson, J., Yang, W., </w:t>
      </w:r>
    </w:p>
    <w:p w14:paraId="41E93F2F" w14:textId="77777777" w:rsidR="006718BF" w:rsidRDefault="006718BF" w:rsidP="006718BF">
      <w:pPr>
        <w:pStyle w:val="IUCrreferences"/>
        <w:ind w:leftChars="100" w:left="220"/>
        <w:rPr>
          <w:rFonts w:eastAsiaTheme="minorEastAsia"/>
          <w:lang w:eastAsia="ja-JP"/>
        </w:rPr>
      </w:pPr>
      <w:r>
        <w:rPr>
          <w:rFonts w:eastAsiaTheme="minorEastAsia"/>
          <w:lang w:eastAsia="ja-JP"/>
        </w:rPr>
        <w:t xml:space="preserve">Zharnikov, M., Bar, M., Heske, C., Reinert, F., Weinhardt, L. (2014). </w:t>
      </w:r>
      <w:r>
        <w:rPr>
          <w:rFonts w:eastAsiaTheme="minorEastAsia"/>
          <w:i/>
          <w:iCs/>
          <w:lang w:eastAsia="ja-JP"/>
        </w:rPr>
        <w:t>J. Phys. Chem. B</w:t>
      </w:r>
      <w:r>
        <w:rPr>
          <w:rFonts w:eastAsiaTheme="minorEastAsia"/>
          <w:lang w:eastAsia="ja-JP"/>
        </w:rPr>
        <w:t xml:space="preserve">. </w:t>
      </w:r>
      <w:r>
        <w:rPr>
          <w:rFonts w:eastAsiaTheme="minorEastAsia"/>
          <w:b/>
          <w:bCs/>
          <w:lang w:eastAsia="ja-JP"/>
        </w:rPr>
        <w:t>118</w:t>
      </w:r>
      <w:r>
        <w:rPr>
          <w:rFonts w:eastAsiaTheme="minorEastAsia"/>
          <w:lang w:eastAsia="ja-JP"/>
        </w:rPr>
        <w:t>, 13142-13150</w:t>
      </w:r>
    </w:p>
    <w:p w14:paraId="2C29B51C" w14:textId="77777777" w:rsidR="006718BF" w:rsidRDefault="006718BF" w:rsidP="006718BF">
      <w:pPr>
        <w:pStyle w:val="IUCrreferences"/>
        <w:rPr>
          <w:rFonts w:eastAsiaTheme="minorEastAsia"/>
          <w:lang w:eastAsia="ja-JP"/>
        </w:rPr>
      </w:pPr>
      <w:r>
        <w:rPr>
          <w:rFonts w:eastAsiaTheme="minorEastAsia"/>
          <w:lang w:eastAsia="ja-JP"/>
        </w:rPr>
        <w:t xml:space="preserve">Miyawaki, J., Suga, S., Fujiwara, H., Urasaki, M., Ikeno, H., Niwa, H., Kiuchi, H., Harada, Y. (2017). </w:t>
      </w:r>
    </w:p>
    <w:p w14:paraId="5715AE24" w14:textId="77777777" w:rsidR="006718BF" w:rsidRDefault="006718BF" w:rsidP="006718BF">
      <w:pPr>
        <w:pStyle w:val="IUCrreferences"/>
        <w:ind w:leftChars="100" w:left="220"/>
        <w:rPr>
          <w:rFonts w:eastAsiaTheme="minorEastAsia"/>
          <w:lang w:eastAsia="ja-JP"/>
        </w:rPr>
      </w:pPr>
      <w:r>
        <w:rPr>
          <w:rFonts w:eastAsiaTheme="minorEastAsia"/>
          <w:i/>
          <w:iCs/>
          <w:lang w:eastAsia="ja-JP"/>
        </w:rPr>
        <w:t>Phys. Rev. B</w:t>
      </w:r>
      <w:r>
        <w:rPr>
          <w:rFonts w:eastAsiaTheme="minorEastAsia"/>
          <w:lang w:eastAsia="ja-JP"/>
        </w:rPr>
        <w:t xml:space="preserve">. </w:t>
      </w:r>
      <w:r>
        <w:rPr>
          <w:rFonts w:eastAsiaTheme="minorEastAsia"/>
          <w:b/>
          <w:bCs/>
          <w:lang w:eastAsia="ja-JP"/>
        </w:rPr>
        <w:t>96</w:t>
      </w:r>
      <w:r>
        <w:rPr>
          <w:rFonts w:eastAsiaTheme="minorEastAsia"/>
          <w:lang w:eastAsia="ja-JP"/>
        </w:rPr>
        <w:t>, 214420</w:t>
      </w:r>
    </w:p>
    <w:p w14:paraId="75C6730A" w14:textId="77777777" w:rsidR="006718BF" w:rsidRDefault="006718BF" w:rsidP="006718BF">
      <w:pPr>
        <w:pStyle w:val="IUCrreferences"/>
        <w:rPr>
          <w:rFonts w:eastAsiaTheme="minorEastAsia"/>
          <w:lang w:eastAsia="ja-JP"/>
        </w:rPr>
      </w:pPr>
      <w:r>
        <w:rPr>
          <w:rFonts w:eastAsiaTheme="minorEastAsia"/>
          <w:lang w:eastAsia="ja-JP"/>
        </w:rPr>
        <w:t xml:space="preserve">Monson, P., McClain, W. (1970). </w:t>
      </w:r>
      <w:r>
        <w:rPr>
          <w:rFonts w:eastAsiaTheme="minorEastAsia"/>
          <w:i/>
          <w:iCs/>
          <w:lang w:eastAsia="ja-JP"/>
        </w:rPr>
        <w:t>J. Chem. Phys</w:t>
      </w:r>
      <w:r>
        <w:rPr>
          <w:rFonts w:eastAsiaTheme="minorEastAsia"/>
          <w:lang w:eastAsia="ja-JP"/>
        </w:rPr>
        <w:t xml:space="preserve">. </w:t>
      </w:r>
      <w:r>
        <w:rPr>
          <w:rFonts w:eastAsiaTheme="minorEastAsia"/>
          <w:b/>
          <w:bCs/>
          <w:lang w:eastAsia="ja-JP"/>
        </w:rPr>
        <w:t>53</w:t>
      </w:r>
      <w:r>
        <w:rPr>
          <w:rFonts w:eastAsiaTheme="minorEastAsia"/>
          <w:lang w:eastAsia="ja-JP"/>
        </w:rPr>
        <w:t>, 29-37</w:t>
      </w:r>
    </w:p>
    <w:p w14:paraId="622DA6F6" w14:textId="7976813A" w:rsidR="00A46EDC" w:rsidRPr="00A46EDC" w:rsidRDefault="00A46EDC" w:rsidP="006718BF">
      <w:pPr>
        <w:pStyle w:val="IUCrreferences"/>
        <w:rPr>
          <w:rFonts w:eastAsiaTheme="minorEastAsia"/>
          <w:lang w:eastAsia="ja-JP"/>
        </w:rPr>
      </w:pPr>
      <w:r>
        <w:rPr>
          <w:rFonts w:eastAsiaTheme="minorEastAsia" w:hint="eastAsia"/>
          <w:lang w:eastAsia="ja-JP"/>
        </w:rPr>
        <w:t>R</w:t>
      </w:r>
      <w:r>
        <w:rPr>
          <w:rFonts w:eastAsiaTheme="minorEastAsia"/>
          <w:lang w:eastAsia="ja-JP"/>
        </w:rPr>
        <w:t xml:space="preserve">oemelt, M., Maganas, D., DeBeer, S, Neese, F. (2013). </w:t>
      </w:r>
      <w:r>
        <w:rPr>
          <w:rFonts w:eastAsiaTheme="minorEastAsia"/>
          <w:i/>
          <w:iCs/>
          <w:lang w:eastAsia="ja-JP"/>
        </w:rPr>
        <w:t>J. Chem. Phys.</w:t>
      </w:r>
      <w:r>
        <w:rPr>
          <w:rFonts w:eastAsiaTheme="minorEastAsia"/>
          <w:lang w:eastAsia="ja-JP"/>
        </w:rPr>
        <w:t xml:space="preserve"> </w:t>
      </w:r>
      <w:r>
        <w:rPr>
          <w:rFonts w:eastAsiaTheme="minorEastAsia"/>
          <w:b/>
          <w:bCs/>
          <w:lang w:eastAsia="ja-JP"/>
        </w:rPr>
        <w:t>138</w:t>
      </w:r>
      <w:r>
        <w:rPr>
          <w:rFonts w:eastAsiaTheme="minorEastAsia"/>
          <w:lang w:eastAsia="ja-JP"/>
        </w:rPr>
        <w:t>, 204101</w:t>
      </w:r>
    </w:p>
    <w:p w14:paraId="59385046" w14:textId="04FAC2A8" w:rsidR="006718BF" w:rsidRDefault="006718BF" w:rsidP="006718BF">
      <w:pPr>
        <w:pStyle w:val="IUCrreferences"/>
        <w:rPr>
          <w:rFonts w:eastAsiaTheme="minorEastAsia"/>
          <w:lang w:eastAsia="ja-JP"/>
        </w:rPr>
      </w:pPr>
      <w:r>
        <w:rPr>
          <w:rFonts w:eastAsiaTheme="minorEastAsia"/>
          <w:lang w:eastAsia="ja-JP"/>
        </w:rPr>
        <w:t xml:space="preserve">Salazar, J., Weber, G., Simon, J., Bezverkhyy, I., Bellat J. (2015). </w:t>
      </w:r>
      <w:r>
        <w:rPr>
          <w:rFonts w:eastAsiaTheme="minorEastAsia"/>
          <w:i/>
          <w:iCs/>
          <w:lang w:eastAsia="ja-JP"/>
        </w:rPr>
        <w:t>J. Chem. Phys.</w:t>
      </w:r>
      <w:r>
        <w:rPr>
          <w:rFonts w:eastAsiaTheme="minorEastAsia"/>
          <w:lang w:eastAsia="ja-JP"/>
        </w:rPr>
        <w:t xml:space="preserve"> </w:t>
      </w:r>
      <w:r>
        <w:rPr>
          <w:rFonts w:eastAsiaTheme="minorEastAsia"/>
          <w:b/>
          <w:bCs/>
          <w:lang w:eastAsia="ja-JP"/>
        </w:rPr>
        <w:t>142</w:t>
      </w:r>
      <w:r>
        <w:rPr>
          <w:rFonts w:eastAsiaTheme="minorEastAsia"/>
          <w:lang w:eastAsia="ja-JP"/>
        </w:rPr>
        <w:t xml:space="preserve">, 124702 </w:t>
      </w:r>
    </w:p>
    <w:p w14:paraId="606C8131" w14:textId="57A9E893" w:rsidR="006718BF" w:rsidRDefault="006718BF" w:rsidP="006718BF">
      <w:pPr>
        <w:pStyle w:val="IUCrreferences"/>
        <w:rPr>
          <w:rFonts w:eastAsiaTheme="minorEastAsia"/>
          <w:lang w:eastAsia="ja-JP"/>
        </w:rPr>
      </w:pPr>
      <w:r>
        <w:rPr>
          <w:rFonts w:eastAsiaTheme="minorEastAsia"/>
          <w:lang w:eastAsia="ja-JP"/>
        </w:rPr>
        <w:t xml:space="preserve">Sato, T., Tokunaga, K., Tanaka, K. (2006). </w:t>
      </w:r>
      <w:r>
        <w:rPr>
          <w:rFonts w:eastAsiaTheme="minorEastAsia"/>
          <w:i/>
          <w:iCs/>
          <w:lang w:eastAsia="ja-JP"/>
        </w:rPr>
        <w:t>J. Chem. Phys.</w:t>
      </w:r>
      <w:r>
        <w:rPr>
          <w:rFonts w:eastAsiaTheme="minorEastAsia"/>
          <w:lang w:eastAsia="ja-JP"/>
        </w:rPr>
        <w:t xml:space="preserve"> </w:t>
      </w:r>
      <w:r>
        <w:rPr>
          <w:rFonts w:eastAsiaTheme="minorEastAsia"/>
          <w:b/>
          <w:bCs/>
          <w:lang w:eastAsia="ja-JP"/>
        </w:rPr>
        <w:t>124</w:t>
      </w:r>
      <w:r>
        <w:rPr>
          <w:rFonts w:eastAsiaTheme="minorEastAsia"/>
          <w:lang w:eastAsia="ja-JP"/>
        </w:rPr>
        <w:t>, 024314</w:t>
      </w:r>
    </w:p>
    <w:p w14:paraId="08828C76" w14:textId="5E2D3F34" w:rsidR="00F72065" w:rsidRPr="00023AC0" w:rsidRDefault="00F72065" w:rsidP="006D4621">
      <w:pPr>
        <w:pStyle w:val="IUCrreferences"/>
        <w:ind w:left="220" w:hangingChars="100" w:hanging="220"/>
        <w:rPr>
          <w:rFonts w:eastAsiaTheme="minorEastAsia"/>
          <w:lang w:eastAsia="ja-JP"/>
        </w:rPr>
      </w:pPr>
      <w:r>
        <w:rPr>
          <w:rFonts w:eastAsiaTheme="minorEastAsia" w:hint="eastAsia"/>
          <w:lang w:eastAsia="ja-JP"/>
        </w:rPr>
        <w:t>S</w:t>
      </w:r>
      <w:r>
        <w:rPr>
          <w:rFonts w:eastAsiaTheme="minorEastAsia"/>
          <w:lang w:eastAsia="ja-JP"/>
        </w:rPr>
        <w:t>hearer, G., Chavan, S., Ethiraj, J., Vitillo, J., Svelle, S., Olsbye, U., Lamberti, C., Bordiga, S., L</w:t>
      </w:r>
      <w:r w:rsidR="00023AC0">
        <w:rPr>
          <w:rFonts w:eastAsiaTheme="minorEastAsia"/>
          <w:lang w:eastAsia="ja-JP"/>
        </w:rPr>
        <w:t xml:space="preserve">illerud, K. (2014). </w:t>
      </w:r>
      <w:r w:rsidR="00023AC0">
        <w:rPr>
          <w:rFonts w:eastAsiaTheme="minorEastAsia"/>
          <w:i/>
          <w:iCs/>
          <w:lang w:eastAsia="ja-JP"/>
        </w:rPr>
        <w:t>Chem. Mater.</w:t>
      </w:r>
      <w:r w:rsidR="00023AC0">
        <w:rPr>
          <w:rFonts w:eastAsiaTheme="minorEastAsia"/>
          <w:lang w:eastAsia="ja-JP"/>
        </w:rPr>
        <w:t xml:space="preserve"> </w:t>
      </w:r>
      <w:r w:rsidR="00023AC0">
        <w:rPr>
          <w:rFonts w:eastAsiaTheme="minorEastAsia"/>
          <w:b/>
          <w:bCs/>
          <w:lang w:eastAsia="ja-JP"/>
        </w:rPr>
        <w:t>26</w:t>
      </w:r>
      <w:r w:rsidR="00023AC0">
        <w:rPr>
          <w:rFonts w:eastAsiaTheme="minorEastAsia"/>
          <w:lang w:eastAsia="ja-JP"/>
        </w:rPr>
        <w:t>, 4068-4071</w:t>
      </w:r>
    </w:p>
    <w:p w14:paraId="3DA526FE" w14:textId="77777777" w:rsidR="006718BF" w:rsidRDefault="006718BF" w:rsidP="006718BF">
      <w:pPr>
        <w:pStyle w:val="IUCrreferences"/>
        <w:rPr>
          <w:rFonts w:eastAsiaTheme="minorEastAsia"/>
          <w:lang w:eastAsia="ja-JP"/>
        </w:rPr>
      </w:pPr>
      <w:r>
        <w:rPr>
          <w:rFonts w:eastAsiaTheme="minorEastAsia"/>
          <w:lang w:eastAsia="ja-JP"/>
        </w:rPr>
        <w:t xml:space="preserve">Tokushima, T., Horikawa, Y., Harada, Y., Takahashi, O., Chainani, A., Senba, Y., Ohashi, H., Hiraya, </w:t>
      </w:r>
    </w:p>
    <w:p w14:paraId="03D5B139" w14:textId="77777777" w:rsidR="006718BF" w:rsidRDefault="006718BF" w:rsidP="006718BF">
      <w:pPr>
        <w:pStyle w:val="IUCrreferences"/>
        <w:ind w:leftChars="100" w:left="220"/>
        <w:rPr>
          <w:rFonts w:eastAsiaTheme="minorEastAsia"/>
          <w:lang w:eastAsia="ja-JP"/>
        </w:rPr>
      </w:pPr>
      <w:r>
        <w:rPr>
          <w:rFonts w:eastAsiaTheme="minorEastAsia"/>
          <w:lang w:eastAsia="ja-JP"/>
        </w:rPr>
        <w:t xml:space="preserve">A., Shin, S. (2009). </w:t>
      </w:r>
      <w:r>
        <w:rPr>
          <w:rFonts w:eastAsiaTheme="minorEastAsia"/>
          <w:i/>
          <w:iCs/>
          <w:lang w:eastAsia="ja-JP"/>
        </w:rPr>
        <w:t>Phys. Chem. Chem. Phys.</w:t>
      </w:r>
      <w:r>
        <w:rPr>
          <w:rFonts w:eastAsiaTheme="minorEastAsia"/>
          <w:lang w:eastAsia="ja-JP"/>
        </w:rPr>
        <w:t xml:space="preserve"> </w:t>
      </w:r>
      <w:r>
        <w:rPr>
          <w:rFonts w:eastAsiaTheme="minorEastAsia"/>
          <w:b/>
          <w:bCs/>
          <w:lang w:eastAsia="ja-JP"/>
        </w:rPr>
        <w:t>11</w:t>
      </w:r>
      <w:r>
        <w:rPr>
          <w:rFonts w:eastAsiaTheme="minorEastAsia"/>
          <w:lang w:eastAsia="ja-JP"/>
        </w:rPr>
        <w:t>, 1679-1682</w:t>
      </w:r>
    </w:p>
    <w:p w14:paraId="37FC8E1B" w14:textId="77777777" w:rsidR="006718BF" w:rsidRDefault="006718BF" w:rsidP="006718BF">
      <w:pPr>
        <w:pStyle w:val="IUCrreferences"/>
        <w:rPr>
          <w:rFonts w:eastAsiaTheme="minorEastAsia"/>
          <w:lang w:eastAsia="ja-JP"/>
        </w:rPr>
      </w:pPr>
      <w:r>
        <w:rPr>
          <w:rFonts w:eastAsiaTheme="minorEastAsia"/>
          <w:lang w:eastAsia="ja-JP"/>
        </w:rPr>
        <w:t xml:space="preserve">Triguero, C., Coudert, F., Boutin, A., Fuchs, A., Neimark, A. (2011). </w:t>
      </w:r>
      <w:r>
        <w:rPr>
          <w:rFonts w:eastAsiaTheme="minorEastAsia"/>
          <w:i/>
          <w:iCs/>
          <w:lang w:eastAsia="ja-JP"/>
        </w:rPr>
        <w:t>J. Phys. Chem. Lett.</w:t>
      </w:r>
      <w:r>
        <w:rPr>
          <w:rFonts w:eastAsiaTheme="minorEastAsia"/>
          <w:lang w:eastAsia="ja-JP"/>
        </w:rPr>
        <w:t xml:space="preserve"> </w:t>
      </w:r>
      <w:r>
        <w:rPr>
          <w:rFonts w:eastAsiaTheme="minorEastAsia"/>
          <w:b/>
          <w:bCs/>
          <w:lang w:eastAsia="ja-JP"/>
        </w:rPr>
        <w:t>2</w:t>
      </w:r>
      <w:r>
        <w:rPr>
          <w:rFonts w:eastAsiaTheme="minorEastAsia"/>
          <w:lang w:eastAsia="ja-JP"/>
        </w:rPr>
        <w:t xml:space="preserve">, </w:t>
      </w:r>
    </w:p>
    <w:p w14:paraId="6EE476B3" w14:textId="77777777" w:rsidR="006718BF" w:rsidRDefault="006718BF" w:rsidP="006718BF">
      <w:pPr>
        <w:pStyle w:val="IUCrreferences"/>
        <w:ind w:leftChars="100" w:left="220"/>
        <w:rPr>
          <w:rFonts w:eastAsiaTheme="minorEastAsia"/>
          <w:lang w:eastAsia="ja-JP"/>
        </w:rPr>
      </w:pPr>
      <w:r>
        <w:rPr>
          <w:rFonts w:eastAsiaTheme="minorEastAsia"/>
          <w:lang w:eastAsia="ja-JP"/>
        </w:rPr>
        <w:t>2033-2037</w:t>
      </w:r>
    </w:p>
    <w:p w14:paraId="4DAAA983" w14:textId="77777777" w:rsidR="006718BF" w:rsidRDefault="006718BF" w:rsidP="006718BF">
      <w:pPr>
        <w:pStyle w:val="IUCrreferences"/>
        <w:rPr>
          <w:rFonts w:eastAsiaTheme="minorEastAsia"/>
          <w:lang w:eastAsia="ja-JP"/>
        </w:rPr>
      </w:pPr>
      <w:r>
        <w:rPr>
          <w:rFonts w:eastAsiaTheme="minorEastAsia"/>
          <w:lang w:eastAsia="ja-JP"/>
        </w:rPr>
        <w:t xml:space="preserve">Volkringer, C., Loiseau, T., Guillou, N., Ferey, G., Elkaim, E., Vimont, A. (2009). </w:t>
      </w:r>
      <w:r>
        <w:rPr>
          <w:rFonts w:eastAsiaTheme="minorEastAsia"/>
          <w:i/>
          <w:iCs/>
          <w:lang w:eastAsia="ja-JP"/>
        </w:rPr>
        <w:t>Dalton Trans.</w:t>
      </w:r>
      <w:r>
        <w:rPr>
          <w:rFonts w:eastAsiaTheme="minorEastAsia"/>
          <w:lang w:eastAsia="ja-JP"/>
        </w:rPr>
        <w:t xml:space="preserve"> </w:t>
      </w:r>
      <w:r>
        <w:rPr>
          <w:rFonts w:eastAsiaTheme="minorEastAsia"/>
          <w:b/>
          <w:bCs/>
          <w:lang w:eastAsia="ja-JP"/>
        </w:rPr>
        <w:t>38</w:t>
      </w:r>
      <w:r>
        <w:rPr>
          <w:rFonts w:eastAsiaTheme="minorEastAsia"/>
          <w:lang w:eastAsia="ja-JP"/>
        </w:rPr>
        <w:t xml:space="preserve">, </w:t>
      </w:r>
    </w:p>
    <w:p w14:paraId="2735E36E" w14:textId="77777777" w:rsidR="006718BF" w:rsidRDefault="006718BF" w:rsidP="006718BF">
      <w:pPr>
        <w:pStyle w:val="IUCrreferences"/>
        <w:ind w:leftChars="100" w:left="220"/>
        <w:rPr>
          <w:rFonts w:eastAsiaTheme="minorEastAsia"/>
          <w:lang w:eastAsia="ja-JP"/>
        </w:rPr>
      </w:pPr>
      <w:r>
        <w:rPr>
          <w:rFonts w:eastAsiaTheme="minorEastAsia"/>
          <w:lang w:eastAsia="ja-JP"/>
        </w:rPr>
        <w:t>2241-2249</w:t>
      </w:r>
    </w:p>
    <w:p w14:paraId="5962A875" w14:textId="77777777" w:rsidR="006718BF" w:rsidRDefault="006718BF" w:rsidP="006718BF">
      <w:pPr>
        <w:pStyle w:val="IUCrreferences"/>
        <w:rPr>
          <w:rFonts w:eastAsiaTheme="minorEastAsia"/>
          <w:lang w:eastAsia="ja-JP"/>
        </w:rPr>
      </w:pPr>
      <w:r>
        <w:rPr>
          <w:rFonts w:eastAsiaTheme="minorEastAsia"/>
          <w:lang w:eastAsia="ja-JP"/>
        </w:rPr>
        <w:t>Walker, A., Civalleri, B., Slater, B., Mellot-Draznieks, F., Cora, C., Zicovich-Wilson, G., Roman-</w:t>
      </w:r>
    </w:p>
    <w:p w14:paraId="38E584DE" w14:textId="77777777" w:rsidR="006718BF" w:rsidRDefault="006718BF" w:rsidP="006718BF">
      <w:pPr>
        <w:pStyle w:val="IUCrreferences"/>
        <w:ind w:leftChars="100" w:left="220"/>
        <w:rPr>
          <w:rFonts w:eastAsiaTheme="minorEastAsia"/>
          <w:i/>
          <w:iCs/>
          <w:lang w:eastAsia="ja-JP"/>
        </w:rPr>
      </w:pPr>
      <w:r>
        <w:rPr>
          <w:rFonts w:eastAsiaTheme="minorEastAsia"/>
          <w:lang w:eastAsia="ja-JP"/>
        </w:rPr>
        <w:t xml:space="preserve">Perez, G., Soler, J., Gale, J. (2010). </w:t>
      </w:r>
      <w:r>
        <w:rPr>
          <w:rFonts w:eastAsiaTheme="minorEastAsia"/>
          <w:i/>
          <w:iCs/>
          <w:lang w:eastAsia="ja-JP"/>
        </w:rPr>
        <w:t xml:space="preserve">Angew. Chem. Int. Ed. </w:t>
      </w:r>
      <w:r>
        <w:rPr>
          <w:rFonts w:eastAsiaTheme="minorEastAsia"/>
          <w:b/>
          <w:bCs/>
          <w:lang w:eastAsia="ja-JP"/>
        </w:rPr>
        <w:t>49</w:t>
      </w:r>
      <w:r>
        <w:rPr>
          <w:rFonts w:eastAsiaTheme="minorEastAsia"/>
          <w:lang w:eastAsia="ja-JP"/>
        </w:rPr>
        <w:t>, 7501-7503</w:t>
      </w:r>
      <w:r>
        <w:rPr>
          <w:rFonts w:eastAsiaTheme="minorEastAsia"/>
          <w:i/>
          <w:iCs/>
          <w:lang w:eastAsia="ja-JP"/>
        </w:rPr>
        <w:t xml:space="preserve"> </w:t>
      </w:r>
    </w:p>
    <w:p w14:paraId="582715DC" w14:textId="77777777" w:rsidR="006718BF" w:rsidRDefault="006718BF" w:rsidP="006718BF">
      <w:pPr>
        <w:pStyle w:val="IUCrreferences"/>
        <w:rPr>
          <w:rFonts w:eastAsiaTheme="minorEastAsia"/>
          <w:lang w:eastAsia="ja-JP"/>
        </w:rPr>
      </w:pPr>
      <w:r>
        <w:rPr>
          <w:rFonts w:eastAsiaTheme="minorEastAsia"/>
          <w:lang w:eastAsia="ja-JP"/>
        </w:rPr>
        <w:t xml:space="preserve">Wieme, J., Lejaeghere, K., Kresse, G. Speybroeck, V. (2018). </w:t>
      </w:r>
      <w:r>
        <w:rPr>
          <w:rFonts w:eastAsiaTheme="minorEastAsia"/>
          <w:i/>
          <w:iCs/>
          <w:lang w:eastAsia="ja-JP"/>
        </w:rPr>
        <w:t>Nat. Comm.</w:t>
      </w:r>
      <w:r>
        <w:rPr>
          <w:rFonts w:eastAsiaTheme="minorEastAsia"/>
          <w:lang w:eastAsia="ja-JP"/>
        </w:rPr>
        <w:t xml:space="preserve"> </w:t>
      </w:r>
      <w:r>
        <w:rPr>
          <w:rFonts w:eastAsiaTheme="minorEastAsia"/>
          <w:b/>
          <w:bCs/>
          <w:lang w:eastAsia="ja-JP"/>
        </w:rPr>
        <w:t>9</w:t>
      </w:r>
      <w:r>
        <w:rPr>
          <w:rFonts w:eastAsiaTheme="minorEastAsia"/>
          <w:lang w:eastAsia="ja-JP"/>
        </w:rPr>
        <w:t>, 4899</w:t>
      </w:r>
    </w:p>
    <w:p w14:paraId="6E7E7143" w14:textId="77777777" w:rsidR="006718BF" w:rsidRDefault="006718BF" w:rsidP="006718BF">
      <w:pPr>
        <w:pStyle w:val="IUCrreferences"/>
        <w:rPr>
          <w:rFonts w:eastAsiaTheme="minorEastAsia"/>
          <w:lang w:eastAsia="ja-JP"/>
        </w:rPr>
      </w:pPr>
      <w:r>
        <w:rPr>
          <w:rFonts w:eastAsiaTheme="minorEastAsia"/>
          <w:lang w:eastAsia="ja-JP"/>
        </w:rPr>
        <w:t xml:space="preserve">Yamamoto, S., Senba, Y., Tanaka, T., Ohashi, H., Hirono, T., Kimura, H., Fujisawa, M., Miyawaki, </w:t>
      </w:r>
    </w:p>
    <w:p w14:paraId="03CBF71A" w14:textId="77777777" w:rsidR="006718BF" w:rsidRDefault="006718BF" w:rsidP="006718BF">
      <w:pPr>
        <w:pStyle w:val="IUCrreferences"/>
        <w:ind w:leftChars="100" w:left="220"/>
        <w:rPr>
          <w:rFonts w:eastAsiaTheme="minorEastAsia"/>
          <w:lang w:eastAsia="ja-JP"/>
        </w:rPr>
      </w:pPr>
      <w:r>
        <w:rPr>
          <w:rFonts w:eastAsiaTheme="minorEastAsia"/>
          <w:lang w:eastAsia="ja-JP"/>
        </w:rPr>
        <w:t xml:space="preserve">J., Harasawa, A., Seike, S., Takahashi, S., Nariyama, N., Matsushita, T., Takeuchi, M., Ohata, T., Furukawa, Y., Takeshita, K., Goto, S., Harada, Y., Shin, S., Kitamura, H.,, Kakizaki, A., Oshima, M., Matsuda, I. (2014). </w:t>
      </w:r>
      <w:r>
        <w:rPr>
          <w:rFonts w:eastAsiaTheme="minorEastAsia"/>
          <w:i/>
          <w:iCs/>
          <w:lang w:eastAsia="ja-JP"/>
        </w:rPr>
        <w:t>J. Synchrotron Rad.</w:t>
      </w:r>
      <w:r>
        <w:rPr>
          <w:rFonts w:eastAsiaTheme="minorEastAsia"/>
          <w:lang w:eastAsia="ja-JP"/>
        </w:rPr>
        <w:t xml:space="preserve"> </w:t>
      </w:r>
      <w:r>
        <w:rPr>
          <w:rFonts w:eastAsiaTheme="minorEastAsia"/>
          <w:b/>
          <w:bCs/>
          <w:lang w:eastAsia="ja-JP"/>
        </w:rPr>
        <w:t>21</w:t>
      </w:r>
      <w:r>
        <w:rPr>
          <w:rFonts w:eastAsiaTheme="minorEastAsia"/>
          <w:lang w:eastAsia="ja-JP"/>
        </w:rPr>
        <w:t>, 352-365</w:t>
      </w:r>
    </w:p>
    <w:p w14:paraId="42D35951" w14:textId="77777777" w:rsidR="006718BF" w:rsidRDefault="006718BF" w:rsidP="006718BF">
      <w:pPr>
        <w:pStyle w:val="IUCrbodytext"/>
      </w:pPr>
    </w:p>
    <w:p w14:paraId="41164D18" w14:textId="77777777" w:rsidR="006718BF" w:rsidRDefault="006718BF" w:rsidP="006718BF">
      <w:pPr>
        <w:pStyle w:val="IUCrbodytext"/>
      </w:pPr>
    </w:p>
    <w:p w14:paraId="0F98754D" w14:textId="77777777" w:rsidR="006718BF" w:rsidRDefault="006718BF" w:rsidP="006718BF">
      <w:pPr>
        <w:pStyle w:val="IUCrbodytext"/>
      </w:pPr>
    </w:p>
    <w:p w14:paraId="66D8CDCF" w14:textId="77777777" w:rsidR="006718BF" w:rsidRDefault="006718BF" w:rsidP="006718BF"/>
    <w:p w14:paraId="265C58F0" w14:textId="77777777" w:rsidR="006718BF" w:rsidRDefault="006718BF" w:rsidP="006718BF"/>
    <w:p w14:paraId="3FCCC7C1" w14:textId="77777777" w:rsidR="006718BF" w:rsidRDefault="006718BF" w:rsidP="006718BF"/>
    <w:p w14:paraId="3308B279" w14:textId="77777777" w:rsidR="00B2775C" w:rsidRDefault="00B2775C" w:rsidP="00B2775C">
      <w:pPr>
        <w:pStyle w:val="IUCrbodytext"/>
      </w:pPr>
    </w:p>
    <w:p w14:paraId="7E2EBCA0" w14:textId="77777777" w:rsidR="00B2775C" w:rsidRDefault="00B2775C" w:rsidP="00B2775C">
      <w:pPr>
        <w:pStyle w:val="IUCrsuptitle"/>
      </w:pPr>
      <w:r>
        <w:lastRenderedPageBreak/>
        <w:t xml:space="preserve">Supporting Information </w:t>
      </w:r>
    </w:p>
    <w:p w14:paraId="4AD18578" w14:textId="572CC49E" w:rsidR="00B2775C" w:rsidRDefault="00CA78D4" w:rsidP="00CA78D4">
      <w:pPr>
        <w:pStyle w:val="Web"/>
      </w:pPr>
      <w:r>
        <w:rPr>
          <w:noProof/>
        </w:rPr>
        <w:drawing>
          <wp:inline distT="0" distB="0" distL="0" distR="0" wp14:anchorId="57670B20" wp14:editId="171BF30B">
            <wp:extent cx="5731510" cy="3643630"/>
            <wp:effectExtent l="0" t="0" r="2540" b="0"/>
            <wp:docPr id="124410400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643630"/>
                    </a:xfrm>
                    <a:prstGeom prst="rect">
                      <a:avLst/>
                    </a:prstGeom>
                    <a:noFill/>
                    <a:ln>
                      <a:noFill/>
                    </a:ln>
                  </pic:spPr>
                </pic:pic>
              </a:graphicData>
            </a:graphic>
          </wp:inline>
        </w:drawing>
      </w:r>
    </w:p>
    <w:p w14:paraId="62FA235C" w14:textId="77777777" w:rsidR="00B2775C" w:rsidRDefault="00B2775C" w:rsidP="00B2775C">
      <w:pPr>
        <w:pStyle w:val="IUCrsupfigurecaption"/>
        <w:numPr>
          <w:ilvl w:val="0"/>
          <w:numId w:val="36"/>
        </w:numPr>
        <w:jc w:val="both"/>
      </w:pPr>
      <w:r>
        <w:t>Variable temperature FTIR spectra of MIL-53(Al) MOF pellet sample measured by reflectance mode. A blue shift is noted from 1614 cm</w:t>
      </w:r>
      <w:r>
        <w:rPr>
          <w:vertAlign w:val="superscript"/>
        </w:rPr>
        <w:t>-1</w:t>
      </w:r>
      <w:r>
        <w:t xml:space="preserve"> to 1622 cm</w:t>
      </w:r>
      <w:r>
        <w:rPr>
          <w:vertAlign w:val="superscript"/>
        </w:rPr>
        <w:t>-1</w:t>
      </w:r>
      <w:r>
        <w:t>, by ~8 cm</w:t>
      </w:r>
      <w:r>
        <w:rPr>
          <w:vertAlign w:val="superscript"/>
        </w:rPr>
        <w:t>-1</w:t>
      </w:r>
      <w:r>
        <w:t xml:space="preserve"> as temperature was increased.</w:t>
      </w:r>
    </w:p>
    <w:p w14:paraId="312B674D" w14:textId="48701CD0" w:rsidR="00B2775C" w:rsidRPr="00CA78D4" w:rsidRDefault="00CA78D4" w:rsidP="00CA78D4">
      <w:pPr>
        <w:pStyle w:val="IUCrsupfigurecaption"/>
        <w:numPr>
          <w:ilvl w:val="0"/>
          <w:numId w:val="0"/>
        </w:numPr>
        <w:rPr>
          <w:szCs w:val="24"/>
          <w:lang w:eastAsia="ja-JP"/>
        </w:rPr>
      </w:pPr>
      <w:r>
        <w:rPr>
          <w:noProof/>
        </w:rPr>
        <w:lastRenderedPageBreak/>
        <w:drawing>
          <wp:inline distT="0" distB="0" distL="0" distR="0" wp14:anchorId="3B3AACBB" wp14:editId="55CEF5DB">
            <wp:extent cx="5731510" cy="4643755"/>
            <wp:effectExtent l="0" t="0" r="2540" b="4445"/>
            <wp:docPr id="17136911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643755"/>
                    </a:xfrm>
                    <a:prstGeom prst="rect">
                      <a:avLst/>
                    </a:prstGeom>
                    <a:noFill/>
                    <a:ln>
                      <a:noFill/>
                    </a:ln>
                  </pic:spPr>
                </pic:pic>
              </a:graphicData>
            </a:graphic>
          </wp:inline>
        </w:drawing>
      </w:r>
    </w:p>
    <w:p w14:paraId="6926B782" w14:textId="77777777" w:rsidR="00B2775C" w:rsidRDefault="00B2775C" w:rsidP="00B2775C">
      <w:pPr>
        <w:pStyle w:val="IUCrsupfigurecaption"/>
        <w:numPr>
          <w:ilvl w:val="0"/>
          <w:numId w:val="36"/>
        </w:numPr>
        <w:jc w:val="both"/>
      </w:pPr>
      <w:r>
        <w:t>Variable temperature powder XRD profiles for MIL-53(Al) MOF under vacuum (~ 0.5 Pa). A shift in the diffraction peak (*) at 2</w:t>
      </w:r>
      <w:r>
        <w:rPr>
          <w:i/>
          <w:iCs/>
        </w:rPr>
        <w:t xml:space="preserve">θ </w:t>
      </w:r>
      <w:r>
        <w:t xml:space="preserve">= 4.2° to 4.1°, upon heating, was taken to indicate the onset of pore expansion due to increase in the lattice constant along the 110 plane (Volkringer </w:t>
      </w:r>
      <w:r>
        <w:rPr>
          <w:i/>
          <w:iCs/>
        </w:rPr>
        <w:t>et al</w:t>
      </w:r>
      <w:r>
        <w:t xml:space="preserve">., 2009), which occurs parallel to the rhombohedral faces of the narrow-pore form. Recovery of the XRD profile upon cooling back to the initial temperature was taken to indicate that the effect of desorption of pre-existing guest species within the nanopores of the MOF sample is minimal. Crystal structures were visualized using VESTA (Monma </w:t>
      </w:r>
      <w:r>
        <w:rPr>
          <w:i/>
          <w:iCs/>
        </w:rPr>
        <w:t>et al</w:t>
      </w:r>
      <w:r>
        <w:t>., 2008).</w:t>
      </w:r>
    </w:p>
    <w:p w14:paraId="0D5ADB75" w14:textId="77777777" w:rsidR="00B2775C" w:rsidRDefault="00B2775C" w:rsidP="00B2775C">
      <w:pPr>
        <w:pStyle w:val="IUCrsupfigurecaption"/>
        <w:numPr>
          <w:ilvl w:val="0"/>
          <w:numId w:val="0"/>
        </w:numPr>
        <w:jc w:val="both"/>
      </w:pPr>
    </w:p>
    <w:p w14:paraId="71A1DA30" w14:textId="77777777" w:rsidR="00B2775C" w:rsidRDefault="00B2775C" w:rsidP="00B2775C">
      <w:pPr>
        <w:pStyle w:val="IUCrsupfigurecaption"/>
        <w:numPr>
          <w:ilvl w:val="0"/>
          <w:numId w:val="0"/>
        </w:numPr>
        <w:jc w:val="both"/>
      </w:pPr>
    </w:p>
    <w:p w14:paraId="693C569A" w14:textId="77777777" w:rsidR="00B2775C" w:rsidRDefault="00B2775C" w:rsidP="00B2775C">
      <w:pPr>
        <w:pStyle w:val="IUCrsupfigurecaption"/>
        <w:numPr>
          <w:ilvl w:val="0"/>
          <w:numId w:val="0"/>
        </w:numPr>
        <w:jc w:val="both"/>
      </w:pPr>
    </w:p>
    <w:p w14:paraId="4AD332D4" w14:textId="77777777" w:rsidR="00B2775C" w:rsidRDefault="00B2775C" w:rsidP="00B2775C">
      <w:pPr>
        <w:pStyle w:val="IUCrsupfigurecaption"/>
        <w:numPr>
          <w:ilvl w:val="0"/>
          <w:numId w:val="0"/>
        </w:numPr>
        <w:jc w:val="both"/>
      </w:pPr>
    </w:p>
    <w:p w14:paraId="2351C389" w14:textId="77777777" w:rsidR="00B2775C" w:rsidRDefault="00B2775C" w:rsidP="00B2775C">
      <w:pPr>
        <w:pStyle w:val="IUCrsupfigurecaption"/>
        <w:numPr>
          <w:ilvl w:val="0"/>
          <w:numId w:val="0"/>
        </w:numPr>
        <w:jc w:val="both"/>
      </w:pPr>
    </w:p>
    <w:p w14:paraId="12C7346A" w14:textId="77777777" w:rsidR="00B2775C" w:rsidRDefault="00B2775C" w:rsidP="00B2775C">
      <w:pPr>
        <w:pStyle w:val="IUCrsupfigurecaption"/>
        <w:numPr>
          <w:ilvl w:val="0"/>
          <w:numId w:val="0"/>
        </w:numPr>
        <w:jc w:val="both"/>
      </w:pPr>
    </w:p>
    <w:p w14:paraId="182DAB5F" w14:textId="77777777" w:rsidR="00B2775C" w:rsidRDefault="00B2775C" w:rsidP="00B2775C">
      <w:pPr>
        <w:pStyle w:val="IUCrsupfigurecaption"/>
        <w:numPr>
          <w:ilvl w:val="0"/>
          <w:numId w:val="0"/>
        </w:numPr>
        <w:jc w:val="both"/>
      </w:pPr>
    </w:p>
    <w:p w14:paraId="3B4DB48F" w14:textId="2EF43DD1" w:rsidR="00B2775C" w:rsidRDefault="00CA78D4" w:rsidP="003639EB">
      <w:pPr>
        <w:pStyle w:val="Web"/>
        <w:jc w:val="both"/>
      </w:pPr>
      <w:r>
        <w:rPr>
          <w:noProof/>
        </w:rPr>
        <w:lastRenderedPageBreak/>
        <w:drawing>
          <wp:inline distT="0" distB="0" distL="0" distR="0" wp14:anchorId="7D1D2ADE" wp14:editId="25FF135A">
            <wp:extent cx="5731510" cy="3651885"/>
            <wp:effectExtent l="0" t="0" r="2540" b="5715"/>
            <wp:docPr id="102919198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651885"/>
                    </a:xfrm>
                    <a:prstGeom prst="rect">
                      <a:avLst/>
                    </a:prstGeom>
                    <a:noFill/>
                    <a:ln>
                      <a:noFill/>
                    </a:ln>
                  </pic:spPr>
                </pic:pic>
              </a:graphicData>
            </a:graphic>
          </wp:inline>
        </w:drawing>
      </w:r>
    </w:p>
    <w:p w14:paraId="2F149709" w14:textId="77777777" w:rsidR="00B2775C" w:rsidRDefault="00B2775C" w:rsidP="00B2775C">
      <w:pPr>
        <w:pStyle w:val="IUCrsupfigurecaption"/>
        <w:numPr>
          <w:ilvl w:val="0"/>
          <w:numId w:val="36"/>
        </w:numPr>
      </w:pPr>
      <w:r>
        <w:t xml:space="preserve">Oxygen </w:t>
      </w:r>
      <w:r>
        <w:rPr>
          <w:i/>
          <w:iCs/>
        </w:rPr>
        <w:t xml:space="preserve">K </w:t>
      </w:r>
      <w:r>
        <w:t>edge XAS spectra for MIL-53(Al) MOF at 30 °C under ambient (60% relative humidity) and vacuum conditions.</w:t>
      </w:r>
    </w:p>
    <w:p w14:paraId="5C09B074" w14:textId="77777777" w:rsidR="00B2775C" w:rsidRDefault="00B2775C" w:rsidP="00B2775C">
      <w:pPr>
        <w:pStyle w:val="IUCrsupfigurecaption"/>
        <w:numPr>
          <w:ilvl w:val="0"/>
          <w:numId w:val="0"/>
        </w:numPr>
      </w:pPr>
    </w:p>
    <w:p w14:paraId="43F2F9E1" w14:textId="56D11030" w:rsidR="00B2775C" w:rsidRDefault="003639EB" w:rsidP="003639EB">
      <w:pPr>
        <w:pStyle w:val="Web"/>
        <w:jc w:val="center"/>
      </w:pPr>
      <w:r>
        <w:rPr>
          <w:noProof/>
        </w:rPr>
        <w:drawing>
          <wp:inline distT="0" distB="0" distL="0" distR="0" wp14:anchorId="1B19A427" wp14:editId="6BE21909">
            <wp:extent cx="5444354" cy="3404381"/>
            <wp:effectExtent l="0" t="0" r="4445" b="5715"/>
            <wp:docPr id="116733720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1812" cy="3421550"/>
                    </a:xfrm>
                    <a:prstGeom prst="rect">
                      <a:avLst/>
                    </a:prstGeom>
                    <a:noFill/>
                    <a:ln>
                      <a:noFill/>
                    </a:ln>
                  </pic:spPr>
                </pic:pic>
              </a:graphicData>
            </a:graphic>
          </wp:inline>
        </w:drawing>
      </w:r>
    </w:p>
    <w:p w14:paraId="5B68FCC3" w14:textId="77777777" w:rsidR="00B2775C" w:rsidRDefault="00B2775C" w:rsidP="00B2775C">
      <w:pPr>
        <w:pStyle w:val="IUCrsupfigurecaption"/>
        <w:numPr>
          <w:ilvl w:val="0"/>
          <w:numId w:val="36"/>
        </w:numPr>
      </w:pPr>
      <w:r>
        <w:t>Resonant x-ray emission (RXES) spectra at 532.0 eV excitation for MIL-53(Al) MOF at 30 °C and 125 °C in vacuum.</w:t>
      </w:r>
    </w:p>
    <w:p w14:paraId="65B59E61" w14:textId="77777777" w:rsidR="00B2775C" w:rsidRDefault="00B2775C" w:rsidP="00B2775C">
      <w:pPr>
        <w:pStyle w:val="IUCrsupfigurecaption"/>
        <w:numPr>
          <w:ilvl w:val="0"/>
          <w:numId w:val="0"/>
        </w:numPr>
      </w:pPr>
    </w:p>
    <w:p w14:paraId="0389CB67" w14:textId="77777777" w:rsidR="00B2775C" w:rsidRDefault="00B2775C" w:rsidP="00B2775C">
      <w:pPr>
        <w:pStyle w:val="IUCrsupfigurecaption"/>
        <w:numPr>
          <w:ilvl w:val="0"/>
          <w:numId w:val="0"/>
        </w:numPr>
      </w:pPr>
      <w:r>
        <w:rPr>
          <w:rFonts w:ascii="Helvetica" w:hAnsi="Helvetica"/>
          <w:b/>
          <w:noProof/>
        </w:rPr>
        <w:drawing>
          <wp:inline distT="0" distB="0" distL="0" distR="0" wp14:anchorId="5885068B" wp14:editId="0258D96B">
            <wp:extent cx="5727700" cy="2990850"/>
            <wp:effectExtent l="0" t="0" r="0" b="0"/>
            <wp:docPr id="5935713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2990850"/>
                    </a:xfrm>
                    <a:prstGeom prst="rect">
                      <a:avLst/>
                    </a:prstGeom>
                    <a:noFill/>
                    <a:ln>
                      <a:noFill/>
                    </a:ln>
                  </pic:spPr>
                </pic:pic>
              </a:graphicData>
            </a:graphic>
          </wp:inline>
        </w:drawing>
      </w:r>
    </w:p>
    <w:p w14:paraId="584CF1ED" w14:textId="77777777" w:rsidR="00B2775C" w:rsidRDefault="00B2775C" w:rsidP="00B2775C">
      <w:pPr>
        <w:pStyle w:val="IUCrsupfigurecaption"/>
        <w:numPr>
          <w:ilvl w:val="0"/>
          <w:numId w:val="36"/>
        </w:numPr>
        <w:jc w:val="both"/>
      </w:pPr>
      <w:r>
        <w:t>Experimental setup for ambient RXES and XAS measurements at SPring-8 BL07LSU HORNET endstation.</w:t>
      </w:r>
    </w:p>
    <w:p w14:paraId="1AEA0431" w14:textId="77777777" w:rsidR="00B2775C" w:rsidRDefault="00B2775C" w:rsidP="00B2775C">
      <w:pPr>
        <w:pStyle w:val="IUCrsupheading1"/>
        <w:numPr>
          <w:ilvl w:val="0"/>
          <w:numId w:val="48"/>
        </w:numPr>
        <w:textAlignment w:val="auto"/>
      </w:pPr>
      <w:r>
        <w:t>Experimental detail</w:t>
      </w:r>
    </w:p>
    <w:p w14:paraId="1EAF7F47" w14:textId="77777777" w:rsidR="00B2775C" w:rsidRDefault="00B2775C" w:rsidP="00B2775C">
      <w:pPr>
        <w:pStyle w:val="IUCrsupheading2"/>
        <w:numPr>
          <w:ilvl w:val="1"/>
          <w:numId w:val="48"/>
        </w:numPr>
        <w:textAlignment w:val="auto"/>
      </w:pPr>
      <w:r>
        <w:t>Sample preparation and characterization</w:t>
      </w:r>
    </w:p>
    <w:p w14:paraId="4DB29877" w14:textId="77777777" w:rsidR="00B2775C" w:rsidRDefault="00B2775C" w:rsidP="00B2775C">
      <w:pPr>
        <w:jc w:val="both"/>
      </w:pPr>
      <w:r>
        <w:t>The metal-organic framework MIL-53(Al) (BASF Basolite A100, Sigma-Aldrich Co. LLC, Japan) was used for measurements as received. For vacuum measurements, the MOF samples were lightly pressed into a pellet. For ambient measurements, the MOF sample was drop-casted onto a a SiC(150 nm)/Cr(3 nm)/Au(11 nm) membrane (NTT Advanced Technology Co. Japan), with a 0.3 × 3 mm</w:t>
      </w:r>
      <w:r>
        <w:rPr>
          <w:vertAlign w:val="superscript"/>
        </w:rPr>
        <w:t>2</w:t>
      </w:r>
      <w:r>
        <w:t xml:space="preserve"> window transparent to soft x-rays (Fig. S5), as routinely employed in SPring-8 BL07LSU for ambient measurements. First, the MOF powder was suspended in distilled water. Then, a few drops of the suspension were laid onto the SiC membrane (Drisdell </w:t>
      </w:r>
      <w:r>
        <w:rPr>
          <w:i/>
          <w:iCs/>
        </w:rPr>
        <w:t>et al</w:t>
      </w:r>
      <w:r>
        <w:t xml:space="preserve">., 2013), which was then heated at 60 </w:t>
      </w:r>
      <w:r>
        <w:rPr>
          <w:vertAlign w:val="superscript"/>
        </w:rPr>
        <w:t>0</w:t>
      </w:r>
      <w:r>
        <w:t xml:space="preserve">C to dry out the sample. Under these conditions, hydrolysis or phase transformation should be negligible (Kang </w:t>
      </w:r>
      <w:r>
        <w:rPr>
          <w:i/>
          <w:iCs/>
        </w:rPr>
        <w:t>et al</w:t>
      </w:r>
      <w:r>
        <w:t xml:space="preserve">., 2011). </w:t>
      </w:r>
    </w:p>
    <w:p w14:paraId="578FE69E" w14:textId="77777777" w:rsidR="00B2775C" w:rsidRDefault="00B2775C" w:rsidP="00B2775C">
      <w:pPr>
        <w:jc w:val="both"/>
      </w:pPr>
    </w:p>
    <w:p w14:paraId="7E30C8A9" w14:textId="7AC336C4" w:rsidR="00B2775C" w:rsidRDefault="00B2775C" w:rsidP="00B2775C">
      <w:pPr>
        <w:jc w:val="both"/>
      </w:pPr>
      <w:r>
        <w:t xml:space="preserve">Variable temperature Fourier transform infrared spectroscopy (FTIR) measurements in reflectance mode were performed on a pellet sample using a JASCO FTIR 6600 spectrometer (JASCO, Japan). Variable temperature powder x-ray diffraction (XRD) measurements under vacuum (&lt; 0.5 Pa) were performed in SPring-8 BL13XU, at an x-ray wavelength of 0.495656 Å. Powder samples were loaded into 0.5 mm glass capillary tubes which were constantly rotated during measurement. Sample heating was achieved by subjecting the sample-loaded capillary tubes to a flow of warm air which has been previously calibrated for sample temperature. </w:t>
      </w:r>
    </w:p>
    <w:p w14:paraId="308EEDBD" w14:textId="77777777" w:rsidR="00B2775C" w:rsidRDefault="00B2775C" w:rsidP="00B2775C">
      <w:pPr>
        <w:pStyle w:val="IUCrsupheading2"/>
        <w:rPr>
          <w:rFonts w:eastAsiaTheme="minorEastAsia"/>
          <w:lang w:eastAsia="ja-JP"/>
        </w:rPr>
      </w:pPr>
      <w:r>
        <w:rPr>
          <w:rFonts w:eastAsiaTheme="minorEastAsia"/>
          <w:lang w:eastAsia="ja-JP"/>
        </w:rPr>
        <w:lastRenderedPageBreak/>
        <w:t>XAS and RXES measurements</w:t>
      </w:r>
    </w:p>
    <w:p w14:paraId="76432653" w14:textId="77777777" w:rsidR="00B2775C" w:rsidRDefault="00B2775C" w:rsidP="00B2775C">
      <w:pPr>
        <w:jc w:val="both"/>
      </w:pPr>
      <w:r>
        <w:t xml:space="preserve">Oxygen </w:t>
      </w:r>
      <w:r>
        <w:rPr>
          <w:i/>
          <w:iCs/>
        </w:rPr>
        <w:t>K</w:t>
      </w:r>
      <w:r>
        <w:t xml:space="preserve"> edge x-ray absorption (XAS) and resonant x-ray emission (RXES) measurements were performed using the high-resolution soft x-ray emission spectrometer HORNET at SPring-8 BL07LSU. For XAS measurements, an incident energy resolution of 0.1 eV was observed. To minimize radiation damage, photon flux was limited by adjusting an exit slit opening and moving the sample position away from the beam focus. Partial fluorescence yield (PFY) XAS spectra were acquired using a XR-100SDD silicon drift detector (Amptek, USA). In turn, RXES measurements were done at 90</w:t>
      </w:r>
      <w:r>
        <w:rPr>
          <w:vertAlign w:val="superscript"/>
        </w:rPr>
        <w:t>0</w:t>
      </w:r>
      <w:r>
        <w:t xml:space="preserve"> scattering geometry, with a &lt; 0.15 eV  emission energy resolution. The pellet sample under vacuum was continuously moved at ~1.6 μm s</w:t>
      </w:r>
      <w:r>
        <w:rPr>
          <w:vertAlign w:val="superscript"/>
        </w:rPr>
        <w:t>-1</w:t>
      </w:r>
      <w:r>
        <w:t xml:space="preserve"> during spectral acquisition in order to minimize radiation damage, for a ~ 5 × 30 μm</w:t>
      </w:r>
      <w:r>
        <w:rPr>
          <w:vertAlign w:val="superscript"/>
        </w:rPr>
        <w:t>2</w:t>
      </w:r>
      <w:r>
        <w:t xml:space="preserve"> beam size. In turn, for the dropcast sample in the ambient measurements, a position in the membrane window was irradiated by 5 s at most, before moving the window by ~10 μm.</w:t>
      </w:r>
    </w:p>
    <w:p w14:paraId="092246FA" w14:textId="77777777" w:rsidR="00B2775C" w:rsidRDefault="00B2775C" w:rsidP="00B2775C"/>
    <w:p w14:paraId="03098C03" w14:textId="77777777" w:rsidR="00B2775C" w:rsidRDefault="00B2775C" w:rsidP="00B2775C">
      <w:pPr>
        <w:pStyle w:val="IUCrbodytext"/>
        <w:jc w:val="both"/>
      </w:pPr>
      <w:r>
        <w:t xml:space="preserve">For vacuum measurements, temperature control was achieved using a cryostat system. Temperature was confirmed at the pellet sample surface directly hit by the x-rays using an alumel-chromel K-type thermocouple. Ambient measurements were performed using a liquid flow cell setup (Fig. S5) routinely employed at SPring-8 BL07LSU HORNET. Sample environment was maintained at around 60% relative humidity and 30 °C to simulate the conditions in which the hydrated MOF was previously reported (Loiseau </w:t>
      </w:r>
      <w:r>
        <w:rPr>
          <w:i/>
          <w:iCs/>
        </w:rPr>
        <w:t>et al</w:t>
      </w:r>
      <w:r>
        <w:t>., 2004). Humidity was controlled with a steam generator (HUM-1, Rigaku Co., Japan), and monitored with a TRH-7X humidity-temperature sensor (Shinyei Co. Japan).</w:t>
      </w:r>
    </w:p>
    <w:p w14:paraId="204D027E" w14:textId="77777777" w:rsidR="00B2775C" w:rsidRDefault="00B2775C" w:rsidP="00B2775C">
      <w:pPr>
        <w:pStyle w:val="IUCrbodytext"/>
        <w:jc w:val="both"/>
      </w:pPr>
    </w:p>
    <w:p w14:paraId="4565667B" w14:textId="77777777" w:rsidR="00B2775C" w:rsidRDefault="00B2775C" w:rsidP="00B2775C">
      <w:pPr>
        <w:pStyle w:val="IUCrsupheading1"/>
        <w:rPr>
          <w:rFonts w:eastAsiaTheme="minorEastAsia"/>
          <w:lang w:eastAsia="ja-JP"/>
        </w:rPr>
      </w:pPr>
      <w:r>
        <w:rPr>
          <w:rFonts w:eastAsiaTheme="minorEastAsia"/>
          <w:lang w:eastAsia="ja-JP"/>
        </w:rPr>
        <w:t>Computational detail</w:t>
      </w:r>
    </w:p>
    <w:p w14:paraId="5E194AD5" w14:textId="77777777" w:rsidR="00B2775C" w:rsidRDefault="00B2775C" w:rsidP="00B2775C">
      <w:pPr>
        <w:jc w:val="both"/>
      </w:pPr>
      <w:r>
        <w:t>Single-point electronic structure calculations were performed for the MOF ligand benzenedicarboxylate (BDC) anion, C</w:t>
      </w:r>
      <w:r>
        <w:rPr>
          <w:vertAlign w:val="subscript"/>
        </w:rPr>
        <w:t>6</w:t>
      </w:r>
      <w:r>
        <w:t>H</w:t>
      </w:r>
      <w:r>
        <w:rPr>
          <w:vertAlign w:val="subscript"/>
        </w:rPr>
        <w:t>4</w:t>
      </w:r>
      <w:r>
        <w:t>(COO)</w:t>
      </w:r>
      <w:r>
        <w:rPr>
          <w:vertAlign w:val="subscript"/>
        </w:rPr>
        <w:t>2</w:t>
      </w:r>
      <w:r>
        <w:rPr>
          <w:vertAlign w:val="superscript"/>
        </w:rPr>
        <w:t>2-</w:t>
      </w:r>
      <w:r>
        <w:t xml:space="preserve">, under a </w:t>
      </w:r>
      <w:r>
        <w:rPr>
          <w:i/>
          <w:iCs/>
        </w:rPr>
        <w:t>D</w:t>
      </w:r>
      <w:r>
        <w:rPr>
          <w:vertAlign w:val="subscript"/>
        </w:rPr>
        <w:t>2h</w:t>
      </w:r>
      <w:r>
        <w:t xml:space="preserve"> point group symmetry using the ORCA quantum chemistry package (Neese, 2012). XAS calculations were done under time-dependent density functional theory (TD-DFT), using the B3LYP functional (Becke, 1993 ; Stephens </w:t>
      </w:r>
      <w:r>
        <w:rPr>
          <w:i/>
          <w:iCs/>
        </w:rPr>
        <w:t>et al</w:t>
      </w:r>
      <w:r>
        <w:t xml:space="preserve">., 1994), and the def2-TZVP Ahlrichs basis set (Weigend </w:t>
      </w:r>
      <w:r>
        <w:rPr>
          <w:i/>
          <w:iCs/>
        </w:rPr>
        <w:t>et al</w:t>
      </w:r>
      <w:r>
        <w:t xml:space="preserve">., 2005). RXES calculations were performed using restricted open-shell configuration interaction with single excitations using DFT-derived orbitals (ROCIS-DFT) from the B3LYP functional (Becke, 1993 ; Stephens </w:t>
      </w:r>
      <w:r>
        <w:rPr>
          <w:i/>
          <w:iCs/>
        </w:rPr>
        <w:t>et al</w:t>
      </w:r>
      <w:r>
        <w:t xml:space="preserve">., 1994) and def2-TZVP Ahlrichs basis set (Weigend </w:t>
      </w:r>
      <w:r>
        <w:rPr>
          <w:i/>
          <w:iCs/>
        </w:rPr>
        <w:t>et al</w:t>
      </w:r>
      <w:r>
        <w:t xml:space="preserve">., 2005), and adopting previously optimized CI matrix terms for incorporating the DFT-derived orbitals into the ROCIS calculation. The def2-TZVP/C auxiliary basis set (Chmela </w:t>
      </w:r>
      <w:r>
        <w:rPr>
          <w:i/>
          <w:iCs/>
        </w:rPr>
        <w:t>et al</w:t>
      </w:r>
      <w:r>
        <w:t>., 2018) was used for the RI approximation of Coulomb and exchange integrals. Calculated XAS and RXES energies were shifted by +15 eV and +14 eV, respectively to align with the experimental energies.</w:t>
      </w:r>
    </w:p>
    <w:p w14:paraId="0B58B888" w14:textId="77777777" w:rsidR="00B2775C" w:rsidRDefault="00B2775C" w:rsidP="00B2775C">
      <w:pPr>
        <w:jc w:val="both"/>
      </w:pPr>
    </w:p>
    <w:p w14:paraId="65ABE324" w14:textId="77777777" w:rsidR="00B2775C" w:rsidRDefault="00B2775C" w:rsidP="00B2775C">
      <w:pPr>
        <w:jc w:val="both"/>
      </w:pPr>
    </w:p>
    <w:p w14:paraId="6539F143" w14:textId="77777777" w:rsidR="00B2775C" w:rsidRDefault="00B2775C" w:rsidP="00B2775C">
      <w:pPr>
        <w:jc w:val="both"/>
      </w:pPr>
    </w:p>
    <w:p w14:paraId="0E35BC97" w14:textId="77777777" w:rsidR="00B2775C" w:rsidRDefault="00B2775C" w:rsidP="00B2775C">
      <w:pPr>
        <w:pStyle w:val="IUCrheading4"/>
      </w:pPr>
      <w:r>
        <w:lastRenderedPageBreak/>
        <w:t>References</w:t>
      </w:r>
    </w:p>
    <w:p w14:paraId="3E909E89" w14:textId="77777777" w:rsidR="00B2775C" w:rsidRPr="00F4345A" w:rsidRDefault="00B2775C" w:rsidP="00B2775C">
      <w:pPr>
        <w:pStyle w:val="IUCrreferences"/>
        <w:rPr>
          <w:rFonts w:eastAsiaTheme="minorEastAsia"/>
          <w:lang w:eastAsia="ja-JP"/>
        </w:rPr>
      </w:pPr>
      <w:r>
        <w:rPr>
          <w:rFonts w:eastAsiaTheme="minorEastAsia" w:hint="eastAsia"/>
          <w:lang w:eastAsia="ja-JP"/>
        </w:rPr>
        <w:t>B</w:t>
      </w:r>
      <w:r>
        <w:rPr>
          <w:rFonts w:eastAsiaTheme="minorEastAsia"/>
          <w:lang w:eastAsia="ja-JP"/>
        </w:rPr>
        <w:t xml:space="preserve">ecke, A. (1993). </w:t>
      </w:r>
      <w:r>
        <w:rPr>
          <w:rFonts w:eastAsiaTheme="minorEastAsia"/>
          <w:i/>
          <w:iCs/>
          <w:lang w:eastAsia="ja-JP"/>
        </w:rPr>
        <w:t>J. Chem. Phys.</w:t>
      </w:r>
      <w:r>
        <w:rPr>
          <w:rFonts w:eastAsiaTheme="minorEastAsia"/>
          <w:lang w:eastAsia="ja-JP"/>
        </w:rPr>
        <w:t xml:space="preserve"> </w:t>
      </w:r>
      <w:r>
        <w:rPr>
          <w:rFonts w:eastAsiaTheme="minorEastAsia"/>
          <w:b/>
          <w:bCs/>
          <w:lang w:eastAsia="ja-JP"/>
        </w:rPr>
        <w:t>98</w:t>
      </w:r>
      <w:r>
        <w:rPr>
          <w:rFonts w:eastAsiaTheme="minorEastAsia"/>
          <w:lang w:eastAsia="ja-JP"/>
        </w:rPr>
        <w:t>, 1372-1377</w:t>
      </w:r>
    </w:p>
    <w:p w14:paraId="4D1EB1A7" w14:textId="77777777" w:rsidR="00B2775C" w:rsidRPr="0081433A" w:rsidRDefault="00B2775C" w:rsidP="00B2775C">
      <w:pPr>
        <w:pStyle w:val="IUCrreferences"/>
        <w:rPr>
          <w:rFonts w:eastAsiaTheme="minorEastAsia"/>
          <w:lang w:eastAsia="ja-JP"/>
        </w:rPr>
      </w:pPr>
      <w:r>
        <w:rPr>
          <w:rFonts w:eastAsiaTheme="minorEastAsia" w:hint="eastAsia"/>
          <w:lang w:eastAsia="ja-JP"/>
        </w:rPr>
        <w:t>C</w:t>
      </w:r>
      <w:r>
        <w:rPr>
          <w:rFonts w:eastAsiaTheme="minorEastAsia"/>
          <w:lang w:eastAsia="ja-JP"/>
        </w:rPr>
        <w:t xml:space="preserve">hmela, J., Harding, M. (2018). </w:t>
      </w:r>
      <w:r>
        <w:rPr>
          <w:rFonts w:eastAsiaTheme="minorEastAsia"/>
          <w:i/>
          <w:iCs/>
          <w:lang w:eastAsia="ja-JP"/>
        </w:rPr>
        <w:t>Mol. Phys.</w:t>
      </w:r>
      <w:r>
        <w:rPr>
          <w:rFonts w:eastAsiaTheme="minorEastAsia"/>
          <w:lang w:eastAsia="ja-JP"/>
        </w:rPr>
        <w:t xml:space="preserve"> </w:t>
      </w:r>
      <w:r>
        <w:rPr>
          <w:rFonts w:eastAsiaTheme="minorEastAsia"/>
          <w:b/>
          <w:bCs/>
          <w:lang w:eastAsia="ja-JP"/>
        </w:rPr>
        <w:t>116</w:t>
      </w:r>
      <w:r>
        <w:rPr>
          <w:rFonts w:eastAsiaTheme="minorEastAsia"/>
          <w:lang w:eastAsia="ja-JP"/>
        </w:rPr>
        <w:t>, 1523-1538</w:t>
      </w:r>
    </w:p>
    <w:p w14:paraId="2D92433D" w14:textId="77777777" w:rsidR="00B2775C" w:rsidRDefault="00B2775C" w:rsidP="00B2775C">
      <w:pPr>
        <w:pStyle w:val="IUCrreferences"/>
        <w:rPr>
          <w:rFonts w:eastAsiaTheme="minorEastAsia"/>
          <w:lang w:eastAsia="ja-JP"/>
        </w:rPr>
      </w:pPr>
      <w:r>
        <w:rPr>
          <w:rFonts w:eastAsiaTheme="minorEastAsia" w:hint="eastAsia"/>
          <w:lang w:eastAsia="ja-JP"/>
        </w:rPr>
        <w:t>D</w:t>
      </w:r>
      <w:r>
        <w:rPr>
          <w:rFonts w:eastAsiaTheme="minorEastAsia"/>
          <w:lang w:eastAsia="ja-JP"/>
        </w:rPr>
        <w:t xml:space="preserve">risdell, W., Poloni, R., McDonald, T., Long, J., Smit, B., Neaton, J., Prendergast, D., Kortright, J. </w:t>
      </w:r>
    </w:p>
    <w:p w14:paraId="5F2A4064" w14:textId="77777777" w:rsidR="00B2775C" w:rsidRPr="00D065A6" w:rsidRDefault="00B2775C" w:rsidP="00B2775C">
      <w:pPr>
        <w:pStyle w:val="IUCrreferences"/>
        <w:ind w:leftChars="100" w:left="220"/>
        <w:rPr>
          <w:rFonts w:eastAsiaTheme="minorEastAsia"/>
          <w:lang w:eastAsia="ja-JP"/>
        </w:rPr>
      </w:pPr>
      <w:r>
        <w:rPr>
          <w:rFonts w:eastAsiaTheme="minorEastAsia"/>
          <w:lang w:eastAsia="ja-JP"/>
        </w:rPr>
        <w:t xml:space="preserve">(2013). </w:t>
      </w:r>
      <w:r>
        <w:rPr>
          <w:rFonts w:eastAsiaTheme="minorEastAsia"/>
          <w:i/>
          <w:iCs/>
          <w:lang w:eastAsia="ja-JP"/>
        </w:rPr>
        <w:t>J. Am. Chem. Soc.</w:t>
      </w:r>
      <w:r>
        <w:rPr>
          <w:rFonts w:eastAsiaTheme="minorEastAsia"/>
          <w:lang w:eastAsia="ja-JP"/>
        </w:rPr>
        <w:t xml:space="preserve"> </w:t>
      </w:r>
      <w:r>
        <w:rPr>
          <w:rFonts w:eastAsiaTheme="minorEastAsia"/>
          <w:b/>
          <w:bCs/>
          <w:lang w:eastAsia="ja-JP"/>
        </w:rPr>
        <w:t>135</w:t>
      </w:r>
      <w:r>
        <w:rPr>
          <w:rFonts w:eastAsiaTheme="minorEastAsia"/>
          <w:lang w:eastAsia="ja-JP"/>
        </w:rPr>
        <w:t>, 18183-18190</w:t>
      </w:r>
    </w:p>
    <w:p w14:paraId="72F5363C" w14:textId="77777777" w:rsidR="00B2775C" w:rsidRPr="00D065A6" w:rsidRDefault="00B2775C" w:rsidP="00B2775C">
      <w:pPr>
        <w:pStyle w:val="IUCrreferences"/>
        <w:rPr>
          <w:rFonts w:eastAsiaTheme="minorEastAsia"/>
          <w:lang w:eastAsia="ja-JP"/>
        </w:rPr>
      </w:pPr>
      <w:r>
        <w:rPr>
          <w:rFonts w:eastAsiaTheme="minorEastAsia" w:hint="eastAsia"/>
          <w:lang w:eastAsia="ja-JP"/>
        </w:rPr>
        <w:t>K</w:t>
      </w:r>
      <w:r>
        <w:rPr>
          <w:rFonts w:eastAsiaTheme="minorEastAsia"/>
          <w:lang w:eastAsia="ja-JP"/>
        </w:rPr>
        <w:t xml:space="preserve">ang, I., Khan, N., Haque, E., Jhung, S. (2011). </w:t>
      </w:r>
      <w:r>
        <w:rPr>
          <w:rFonts w:eastAsiaTheme="minorEastAsia"/>
          <w:i/>
          <w:iCs/>
          <w:lang w:eastAsia="ja-JP"/>
        </w:rPr>
        <w:t xml:space="preserve">Chem. Eur. J. </w:t>
      </w:r>
      <w:r>
        <w:rPr>
          <w:rFonts w:eastAsiaTheme="minorEastAsia"/>
          <w:b/>
          <w:bCs/>
          <w:lang w:eastAsia="ja-JP"/>
        </w:rPr>
        <w:t>17</w:t>
      </w:r>
      <w:r>
        <w:rPr>
          <w:rFonts w:eastAsiaTheme="minorEastAsia"/>
          <w:lang w:eastAsia="ja-JP"/>
        </w:rPr>
        <w:t>, 6437-6442</w:t>
      </w:r>
    </w:p>
    <w:p w14:paraId="442E89F1" w14:textId="77777777" w:rsidR="00B2775C" w:rsidRDefault="00B2775C" w:rsidP="00B2775C">
      <w:pPr>
        <w:pStyle w:val="IUCrreferences"/>
        <w:rPr>
          <w:rFonts w:eastAsiaTheme="minorEastAsia"/>
          <w:lang w:eastAsia="ja-JP"/>
        </w:rPr>
      </w:pPr>
      <w:r>
        <w:rPr>
          <w:rFonts w:eastAsiaTheme="minorEastAsia"/>
          <w:lang w:eastAsia="ja-JP"/>
        </w:rPr>
        <w:t xml:space="preserve">Loiseau, T., Serre, C., Huguenard, C., Fink, G., Taluelle, F., Henry, M., Bataille, T., Ferey, G. (2004). </w:t>
      </w:r>
    </w:p>
    <w:p w14:paraId="486EBCFD" w14:textId="77777777" w:rsidR="00B2775C" w:rsidRPr="00713409" w:rsidRDefault="00B2775C" w:rsidP="00B2775C">
      <w:pPr>
        <w:pStyle w:val="IUCrreferences"/>
        <w:ind w:leftChars="100" w:left="220"/>
        <w:rPr>
          <w:rFonts w:eastAsiaTheme="minorEastAsia"/>
          <w:i/>
          <w:iCs/>
          <w:lang w:eastAsia="ja-JP"/>
        </w:rPr>
      </w:pPr>
      <w:r>
        <w:rPr>
          <w:rFonts w:eastAsiaTheme="minorEastAsia"/>
          <w:i/>
          <w:iCs/>
          <w:lang w:eastAsia="ja-JP"/>
        </w:rPr>
        <w:t xml:space="preserve">Chem. Eur. J. </w:t>
      </w:r>
      <w:r>
        <w:rPr>
          <w:rFonts w:eastAsiaTheme="minorEastAsia"/>
          <w:b/>
          <w:bCs/>
          <w:lang w:eastAsia="ja-JP"/>
        </w:rPr>
        <w:t>10</w:t>
      </w:r>
      <w:r>
        <w:rPr>
          <w:rFonts w:eastAsiaTheme="minorEastAsia"/>
          <w:lang w:eastAsia="ja-JP"/>
        </w:rPr>
        <w:t>, 1373-1382</w:t>
      </w:r>
    </w:p>
    <w:p w14:paraId="5B5518F7" w14:textId="77777777" w:rsidR="00B2775C" w:rsidRPr="004961F2" w:rsidRDefault="00B2775C" w:rsidP="00B2775C">
      <w:pPr>
        <w:pStyle w:val="IUCrreferences"/>
        <w:rPr>
          <w:rFonts w:eastAsiaTheme="minorEastAsia"/>
          <w:lang w:eastAsia="ja-JP"/>
        </w:rPr>
      </w:pPr>
      <w:r>
        <w:rPr>
          <w:rFonts w:eastAsiaTheme="minorEastAsia" w:hint="eastAsia"/>
          <w:lang w:eastAsia="ja-JP"/>
        </w:rPr>
        <w:t>M</w:t>
      </w:r>
      <w:r>
        <w:rPr>
          <w:rFonts w:eastAsiaTheme="minorEastAsia"/>
          <w:lang w:eastAsia="ja-JP"/>
        </w:rPr>
        <w:t xml:space="preserve">onma, K., Izumi, F. (2008). </w:t>
      </w:r>
      <w:r>
        <w:rPr>
          <w:rFonts w:eastAsiaTheme="minorEastAsia"/>
          <w:i/>
          <w:iCs/>
          <w:lang w:eastAsia="ja-JP"/>
        </w:rPr>
        <w:t>J. Appl. Cryst</w:t>
      </w:r>
      <w:r>
        <w:rPr>
          <w:rFonts w:eastAsiaTheme="minorEastAsia"/>
          <w:lang w:eastAsia="ja-JP"/>
        </w:rPr>
        <w:t xml:space="preserve">. </w:t>
      </w:r>
      <w:r>
        <w:rPr>
          <w:rFonts w:eastAsiaTheme="minorEastAsia"/>
          <w:b/>
          <w:bCs/>
          <w:lang w:eastAsia="ja-JP"/>
        </w:rPr>
        <w:t>41</w:t>
      </w:r>
      <w:r>
        <w:rPr>
          <w:rFonts w:eastAsiaTheme="minorEastAsia"/>
          <w:lang w:eastAsia="ja-JP"/>
        </w:rPr>
        <w:t>, 653-658</w:t>
      </w:r>
    </w:p>
    <w:p w14:paraId="6AAB9A83" w14:textId="77777777" w:rsidR="00B2775C" w:rsidRPr="00F4345A" w:rsidRDefault="00B2775C" w:rsidP="00B2775C">
      <w:pPr>
        <w:pStyle w:val="IUCrreferences"/>
        <w:rPr>
          <w:rFonts w:eastAsiaTheme="minorEastAsia"/>
          <w:lang w:eastAsia="ja-JP"/>
        </w:rPr>
      </w:pPr>
      <w:r>
        <w:rPr>
          <w:rFonts w:eastAsiaTheme="minorEastAsia" w:hint="eastAsia"/>
          <w:lang w:eastAsia="ja-JP"/>
        </w:rPr>
        <w:t>N</w:t>
      </w:r>
      <w:r>
        <w:rPr>
          <w:rFonts w:eastAsiaTheme="minorEastAsia"/>
          <w:lang w:eastAsia="ja-JP"/>
        </w:rPr>
        <w:t xml:space="preserve">eese, F. (2012). </w:t>
      </w:r>
      <w:r>
        <w:rPr>
          <w:rFonts w:eastAsiaTheme="minorEastAsia"/>
          <w:i/>
          <w:iCs/>
          <w:lang w:eastAsia="ja-JP"/>
        </w:rPr>
        <w:t>WIREs Computational Mol. Sci.</w:t>
      </w:r>
      <w:r>
        <w:rPr>
          <w:rFonts w:eastAsiaTheme="minorEastAsia"/>
          <w:lang w:eastAsia="ja-JP"/>
        </w:rPr>
        <w:t xml:space="preserve"> </w:t>
      </w:r>
      <w:r>
        <w:rPr>
          <w:rFonts w:eastAsiaTheme="minorEastAsia"/>
          <w:b/>
          <w:bCs/>
          <w:lang w:eastAsia="ja-JP"/>
        </w:rPr>
        <w:t>2</w:t>
      </w:r>
      <w:r>
        <w:rPr>
          <w:rFonts w:eastAsiaTheme="minorEastAsia"/>
          <w:lang w:eastAsia="ja-JP"/>
        </w:rPr>
        <w:t>, 73-78</w:t>
      </w:r>
    </w:p>
    <w:p w14:paraId="54538B2D" w14:textId="77777777" w:rsidR="00B2775C" w:rsidRPr="00F4345A" w:rsidRDefault="00B2775C" w:rsidP="00B2775C">
      <w:pPr>
        <w:pStyle w:val="IUCrreferences"/>
        <w:rPr>
          <w:rFonts w:eastAsiaTheme="minorEastAsia"/>
          <w:lang w:eastAsia="ja-JP"/>
        </w:rPr>
      </w:pPr>
      <w:r>
        <w:rPr>
          <w:rFonts w:eastAsiaTheme="minorEastAsia" w:hint="eastAsia"/>
          <w:lang w:eastAsia="ja-JP"/>
        </w:rPr>
        <w:t>S</w:t>
      </w:r>
      <w:r>
        <w:rPr>
          <w:rFonts w:eastAsiaTheme="minorEastAsia"/>
          <w:lang w:eastAsia="ja-JP"/>
        </w:rPr>
        <w:t xml:space="preserve">tephens, J., Devlin, F., Chablowski, C., Frisch, M. (1994). </w:t>
      </w:r>
      <w:r>
        <w:rPr>
          <w:rFonts w:eastAsiaTheme="minorEastAsia"/>
          <w:i/>
          <w:iCs/>
          <w:lang w:eastAsia="ja-JP"/>
        </w:rPr>
        <w:t>J. Phys. Chem.</w:t>
      </w:r>
      <w:r>
        <w:rPr>
          <w:rFonts w:eastAsiaTheme="minorEastAsia"/>
          <w:lang w:eastAsia="ja-JP"/>
        </w:rPr>
        <w:t xml:space="preserve"> </w:t>
      </w:r>
      <w:r>
        <w:rPr>
          <w:rFonts w:eastAsiaTheme="minorEastAsia"/>
          <w:b/>
          <w:bCs/>
          <w:lang w:eastAsia="ja-JP"/>
        </w:rPr>
        <w:t>98</w:t>
      </w:r>
      <w:r>
        <w:rPr>
          <w:rFonts w:eastAsiaTheme="minorEastAsia"/>
          <w:lang w:eastAsia="ja-JP"/>
        </w:rPr>
        <w:t>, 11623-11627</w:t>
      </w:r>
    </w:p>
    <w:p w14:paraId="240F134B" w14:textId="77777777" w:rsidR="00B2775C" w:rsidRDefault="00B2775C" w:rsidP="00B2775C">
      <w:pPr>
        <w:pStyle w:val="IUCrreferences"/>
        <w:rPr>
          <w:rFonts w:eastAsiaTheme="minorEastAsia"/>
          <w:lang w:eastAsia="ja-JP"/>
        </w:rPr>
      </w:pPr>
      <w:r>
        <w:rPr>
          <w:rFonts w:eastAsiaTheme="minorEastAsia"/>
          <w:lang w:eastAsia="ja-JP"/>
        </w:rPr>
        <w:t xml:space="preserve">Volkringer, C., Loiseau, T., Guillou, N., Ferey, G., Elkaim, E., Vimont, A. (2009). </w:t>
      </w:r>
      <w:r>
        <w:rPr>
          <w:rFonts w:eastAsiaTheme="minorEastAsia"/>
          <w:i/>
          <w:iCs/>
          <w:lang w:eastAsia="ja-JP"/>
        </w:rPr>
        <w:t>Dalton Trans.</w:t>
      </w:r>
      <w:r>
        <w:rPr>
          <w:rFonts w:eastAsiaTheme="minorEastAsia"/>
          <w:lang w:eastAsia="ja-JP"/>
        </w:rPr>
        <w:t xml:space="preserve"> </w:t>
      </w:r>
      <w:r>
        <w:rPr>
          <w:rFonts w:eastAsiaTheme="minorEastAsia"/>
          <w:b/>
          <w:bCs/>
          <w:lang w:eastAsia="ja-JP"/>
        </w:rPr>
        <w:t>38</w:t>
      </w:r>
      <w:r>
        <w:rPr>
          <w:rFonts w:eastAsiaTheme="minorEastAsia"/>
          <w:lang w:eastAsia="ja-JP"/>
        </w:rPr>
        <w:t xml:space="preserve">, </w:t>
      </w:r>
    </w:p>
    <w:p w14:paraId="7163E4D5" w14:textId="77777777" w:rsidR="00B2775C" w:rsidRDefault="00B2775C" w:rsidP="00B2775C">
      <w:pPr>
        <w:pStyle w:val="IUCrreferences"/>
        <w:ind w:leftChars="100" w:left="220"/>
        <w:rPr>
          <w:rFonts w:eastAsiaTheme="minorEastAsia"/>
          <w:lang w:eastAsia="ja-JP"/>
        </w:rPr>
      </w:pPr>
      <w:r>
        <w:rPr>
          <w:rFonts w:eastAsiaTheme="minorEastAsia"/>
          <w:lang w:eastAsia="ja-JP"/>
        </w:rPr>
        <w:t>2241-2249</w:t>
      </w:r>
    </w:p>
    <w:p w14:paraId="204EAF40" w14:textId="77777777" w:rsidR="00B2775C" w:rsidRPr="0081433A" w:rsidRDefault="00B2775C" w:rsidP="00B2775C">
      <w:pPr>
        <w:pStyle w:val="IUCrreferences"/>
        <w:rPr>
          <w:rFonts w:eastAsiaTheme="minorEastAsia"/>
          <w:lang w:eastAsia="ja-JP"/>
        </w:rPr>
      </w:pPr>
      <w:r>
        <w:rPr>
          <w:rFonts w:eastAsiaTheme="minorEastAsia"/>
          <w:lang w:eastAsia="ja-JP"/>
        </w:rPr>
        <w:t xml:space="preserve">Weigend, F., Ahlrichs, R. (2005). </w:t>
      </w:r>
      <w:r>
        <w:rPr>
          <w:rFonts w:eastAsiaTheme="minorEastAsia"/>
          <w:i/>
          <w:iCs/>
          <w:lang w:eastAsia="ja-JP"/>
        </w:rPr>
        <w:t>Phys. Chem. Chem. Phys</w:t>
      </w:r>
      <w:r>
        <w:rPr>
          <w:rFonts w:eastAsiaTheme="minorEastAsia"/>
          <w:lang w:eastAsia="ja-JP"/>
        </w:rPr>
        <w:t xml:space="preserve">. </w:t>
      </w:r>
      <w:r>
        <w:rPr>
          <w:rFonts w:eastAsiaTheme="minorEastAsia"/>
          <w:b/>
          <w:bCs/>
          <w:lang w:eastAsia="ja-JP"/>
        </w:rPr>
        <w:t>7</w:t>
      </w:r>
      <w:r>
        <w:rPr>
          <w:rFonts w:eastAsiaTheme="minorEastAsia"/>
          <w:lang w:eastAsia="ja-JP"/>
        </w:rPr>
        <w:t>, 3297-3305</w:t>
      </w:r>
    </w:p>
    <w:p w14:paraId="05A5E513" w14:textId="77777777" w:rsidR="00B2775C" w:rsidRPr="0035174C" w:rsidRDefault="00B2775C" w:rsidP="00B2775C">
      <w:pPr>
        <w:pStyle w:val="IUCrreferences"/>
        <w:rPr>
          <w:rStyle w:val="IUCrsanstextgreysmall"/>
          <w:rFonts w:ascii="Times New Roman" w:hAnsi="Times New Roman"/>
          <w:color w:val="auto"/>
          <w:sz w:val="22"/>
        </w:rPr>
      </w:pPr>
    </w:p>
    <w:p w14:paraId="5870E5DA" w14:textId="77777777" w:rsidR="00B2775C" w:rsidRPr="00B2775C" w:rsidRDefault="00B2775C" w:rsidP="00B2775C">
      <w:pPr>
        <w:pStyle w:val="IUCrbodytext"/>
      </w:pPr>
    </w:p>
    <w:sectPr w:rsidR="00B2775C" w:rsidRPr="00B2775C" w:rsidSect="00C023A2">
      <w:headerReference w:type="default" r:id="rId20"/>
      <w:footerReference w:type="default" r:id="rId21"/>
      <w:headerReference w:type="first" r:id="rId22"/>
      <w:footerReference w:type="first" r:id="rId23"/>
      <w:pgSz w:w="11906" w:h="16838"/>
      <w:pgMar w:top="1440" w:right="1440" w:bottom="1440" w:left="1440"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DB238" w14:textId="77777777" w:rsidR="00C023A2" w:rsidRDefault="00C023A2" w:rsidP="00FA4D40">
      <w:pPr>
        <w:spacing w:line="240" w:lineRule="auto"/>
      </w:pPr>
      <w:r>
        <w:separator/>
      </w:r>
    </w:p>
  </w:endnote>
  <w:endnote w:type="continuationSeparator" w:id="0">
    <w:p w14:paraId="19F0ABA9" w14:textId="77777777" w:rsidR="00C023A2" w:rsidRDefault="00C023A2" w:rsidP="00FA4D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AFF" w:usb1="5000785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BA35" w14:textId="77777777" w:rsidR="00C46915" w:rsidRDefault="00F90EFE">
    <w:pPr>
      <w:pStyle w:val="a9"/>
      <w:jc w:val="right"/>
    </w:pPr>
    <w:r>
      <w:fldChar w:fldCharType="begin"/>
    </w:r>
    <w:r w:rsidR="00C703AA">
      <w:instrText xml:space="preserve"> PAGE   \* MERGEFORMAT </w:instrText>
    </w:r>
    <w:r>
      <w:fldChar w:fldCharType="separate"/>
    </w:r>
    <w:r w:rsidR="002B3DE4">
      <w:rPr>
        <w:noProof/>
      </w:rPr>
      <w:t>2</w:t>
    </w:r>
    <w:r>
      <w:fldChar w:fldCharType="end"/>
    </w:r>
  </w:p>
  <w:p w14:paraId="7D3869FA" w14:textId="77777777" w:rsidR="00C46915" w:rsidRDefault="00C46915">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4590"/>
      <w:docPartObj>
        <w:docPartGallery w:val="Page Numbers (Bottom of Page)"/>
        <w:docPartUnique/>
      </w:docPartObj>
    </w:sdtPr>
    <w:sdtEndPr/>
    <w:sdtContent>
      <w:p w14:paraId="5D7344B9" w14:textId="77777777" w:rsidR="00EF3A28" w:rsidRDefault="00D133D7" w:rsidP="00A8790A">
        <w:pPr>
          <w:pStyle w:val="a9"/>
          <w:pBdr>
            <w:top w:val="single" w:sz="4" w:space="2" w:color="404040" w:themeColor="text1" w:themeTint="BF"/>
            <w:left w:val="single" w:sz="4" w:space="4" w:color="404040" w:themeColor="text1" w:themeTint="BF"/>
            <w:bottom w:val="single" w:sz="4" w:space="2" w:color="404040" w:themeColor="text1" w:themeTint="BF"/>
            <w:right w:val="single" w:sz="4" w:space="4" w:color="404040" w:themeColor="text1" w:themeTint="BF"/>
          </w:pBdr>
          <w:shd w:val="clear" w:color="auto" w:fill="D9D9D9" w:themeFill="background1" w:themeFillShade="D9"/>
          <w:tabs>
            <w:tab w:val="left" w:pos="142"/>
          </w:tabs>
          <w:spacing w:line="240" w:lineRule="auto"/>
        </w:pPr>
        <w:r w:rsidRPr="00A8790A">
          <w:rPr>
            <w:rStyle w:val="IUCrsanstextgreysmall"/>
            <w:color w:val="404040" w:themeColor="text1" w:themeTint="BF"/>
          </w:rPr>
          <w:t>IMPORTANT: t</w:t>
        </w:r>
        <w:r w:rsidR="0034635F" w:rsidRPr="00A8790A">
          <w:rPr>
            <w:rStyle w:val="IUCrsanstextgreysmall"/>
            <w:color w:val="404040" w:themeColor="text1" w:themeTint="BF"/>
          </w:rPr>
          <w:t>his d</w:t>
        </w:r>
        <w:r w:rsidR="00EF3A28" w:rsidRPr="00A8790A">
          <w:rPr>
            <w:rStyle w:val="IUCrsanstextgreysmall"/>
            <w:color w:val="404040" w:themeColor="text1" w:themeTint="BF"/>
          </w:rPr>
          <w:t xml:space="preserve">ocument </w:t>
        </w:r>
        <w:r w:rsidR="008A4FBB" w:rsidRPr="00A8790A">
          <w:rPr>
            <w:rStyle w:val="IUCrsanstextgreysmall"/>
            <w:color w:val="404040" w:themeColor="text1" w:themeTint="BF"/>
          </w:rPr>
          <w:t xml:space="preserve">contains </w:t>
        </w:r>
        <w:r w:rsidR="0034635F" w:rsidRPr="00A8790A">
          <w:rPr>
            <w:rStyle w:val="IUCrsanstextgreysmall"/>
            <w:color w:val="404040" w:themeColor="text1" w:themeTint="BF"/>
          </w:rPr>
          <w:t>embedded data - to preserve d</w:t>
        </w:r>
        <w:r w:rsidR="00DC1E15" w:rsidRPr="00A8790A">
          <w:rPr>
            <w:rStyle w:val="IUCrsanstextgreysmall"/>
            <w:color w:val="404040" w:themeColor="text1" w:themeTint="BF"/>
          </w:rPr>
          <w:t>ata</w:t>
        </w:r>
        <w:r w:rsidR="0034635F" w:rsidRPr="00A8790A">
          <w:rPr>
            <w:rStyle w:val="IUCrsanstextgreysmall"/>
            <w:color w:val="404040" w:themeColor="text1" w:themeTint="BF"/>
          </w:rPr>
          <w:t xml:space="preserve"> integrity, please </w:t>
        </w:r>
        <w:r w:rsidRPr="00A8790A">
          <w:rPr>
            <w:rStyle w:val="IUCrsanstextgreysmall"/>
            <w:color w:val="404040" w:themeColor="text1" w:themeTint="BF"/>
          </w:rPr>
          <w:t>ensure where possible that</w:t>
        </w:r>
        <w:r w:rsidR="0034635F" w:rsidRPr="00A8790A">
          <w:rPr>
            <w:rStyle w:val="IUCrsanstextgreysmall"/>
            <w:color w:val="404040" w:themeColor="text1" w:themeTint="BF"/>
          </w:rPr>
          <w:t xml:space="preserve"> the </w:t>
        </w:r>
        <w:r w:rsidR="00EF3A28" w:rsidRPr="00A8790A">
          <w:rPr>
            <w:rStyle w:val="IUCrsanstextgreysmall"/>
            <w:color w:val="404040" w:themeColor="text1" w:themeTint="BF"/>
          </w:rPr>
          <w:t xml:space="preserve">IUCr Word tools </w:t>
        </w:r>
        <w:r w:rsidRPr="00A8790A">
          <w:rPr>
            <w:rStyle w:val="IUCrsanstextgreysmall"/>
            <w:color w:val="404040" w:themeColor="text1" w:themeTint="BF"/>
          </w:rPr>
          <w:t xml:space="preserve">(available from http://journals.iucr.org/services/docxtemplate/) are installed </w:t>
        </w:r>
        <w:r w:rsidR="0034635F" w:rsidRPr="00A8790A">
          <w:rPr>
            <w:rStyle w:val="IUCrsanstextgreysmall"/>
            <w:color w:val="404040" w:themeColor="text1" w:themeTint="BF"/>
          </w:rPr>
          <w:t>when editing</w:t>
        </w:r>
        <w:r w:rsidRPr="00A8790A">
          <w:rPr>
            <w:rStyle w:val="IUCrsanstextgreysmall"/>
            <w:color w:val="404040" w:themeColor="text1" w:themeTint="BF"/>
          </w:rPr>
          <w:t xml:space="preserve"> this document.</w:t>
        </w:r>
        <w:r w:rsidR="00EF3A28">
          <w:tab/>
        </w:r>
        <w:r w:rsidR="00EF3A28">
          <w:tab/>
        </w:r>
        <w:r w:rsidR="00C46915">
          <w:fldChar w:fldCharType="begin"/>
        </w:r>
        <w:r w:rsidR="00C46915">
          <w:instrText xml:space="preserve"> PAGE   \* MERGEFORMAT </w:instrText>
        </w:r>
        <w:r w:rsidR="00C46915">
          <w:fldChar w:fldCharType="separate"/>
        </w:r>
        <w:r w:rsidR="00A26290">
          <w:rPr>
            <w:noProof/>
          </w:rPr>
          <w:t>1</w:t>
        </w:r>
        <w:r w:rsidR="00C46915">
          <w:rPr>
            <w:noProof/>
          </w:rPr>
          <w:fldChar w:fldCharType="end"/>
        </w:r>
      </w:p>
    </w:sdtContent>
  </w:sdt>
  <w:p w14:paraId="2A204998" w14:textId="77777777" w:rsidR="00EF3A28" w:rsidRDefault="00EF3A2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5B162" w14:textId="77777777" w:rsidR="00C023A2" w:rsidRDefault="00C023A2" w:rsidP="00FA4D40">
      <w:pPr>
        <w:spacing w:line="240" w:lineRule="auto"/>
      </w:pPr>
      <w:r>
        <w:separator/>
      </w:r>
    </w:p>
  </w:footnote>
  <w:footnote w:type="continuationSeparator" w:id="0">
    <w:p w14:paraId="5458AB53" w14:textId="77777777" w:rsidR="00C023A2" w:rsidRDefault="00C023A2" w:rsidP="00FA4D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7B34" w14:textId="4479075F" w:rsidR="00C46915" w:rsidRDefault="00F90EFE">
    <w:pPr>
      <w:pStyle w:val="IUCrsansparagraph"/>
      <w:pBdr>
        <w:bottom w:val="single" w:sz="4" w:space="1" w:color="auto"/>
      </w:pBdr>
      <w:tabs>
        <w:tab w:val="right" w:pos="9026"/>
      </w:tabs>
    </w:pPr>
    <w:r>
      <w:rPr>
        <w:rFonts w:eastAsia="ＭＳ ゴシック"/>
      </w:rPr>
      <w:fldChar w:fldCharType="begin"/>
    </w:r>
    <w:r w:rsidR="00C703AA">
      <w:rPr>
        <w:rFonts w:eastAsia="ＭＳ ゴシック"/>
      </w:rPr>
      <w:instrText xml:space="preserve"> DOCVARIABLE  iucrjournal  \* MERGEFORMAT </w:instrText>
    </w:r>
    <w:r>
      <w:rPr>
        <w:rFonts w:eastAsia="ＭＳ ゴシック"/>
      </w:rPr>
      <w:fldChar w:fldCharType="separate"/>
    </w:r>
    <w:r w:rsidR="006718BF">
      <w:rPr>
        <w:rFonts w:eastAsia="ＭＳ ゴシック"/>
      </w:rPr>
      <w:t>Journal of Synchrotron Radiation</w:t>
    </w:r>
    <w:r>
      <w:rPr>
        <w:rFonts w:eastAsia="ＭＳ ゴシック"/>
      </w:rPr>
      <w:fldChar w:fldCharType="end"/>
    </w:r>
    <w:r w:rsidR="00C703AA">
      <w:rPr>
        <w:rFonts w:eastAsia="ＭＳ ゴシック"/>
      </w:rPr>
      <w:tab/>
    </w:r>
    <w:r>
      <w:rPr>
        <w:rFonts w:eastAsia="ＭＳ ゴシック"/>
      </w:rPr>
      <w:fldChar w:fldCharType="begin"/>
    </w:r>
    <w:r w:rsidR="00E37CA7">
      <w:rPr>
        <w:rFonts w:eastAsia="ＭＳ ゴシック"/>
      </w:rPr>
      <w:instrText xml:space="preserve"> DOCVARIABLE  iucrfield  \* MERGEFORMAT </w:instrText>
    </w:r>
    <w:r>
      <w:rPr>
        <w:rFonts w:eastAsia="ＭＳ ゴシック"/>
      </w:rPr>
      <w:fldChar w:fldCharType="separate"/>
    </w:r>
    <w:r w:rsidR="006718BF">
      <w:rPr>
        <w:rFonts w:eastAsia="ＭＳ ゴシック"/>
      </w:rPr>
      <w:t xml:space="preserve"> </w:t>
    </w:r>
    <w:r>
      <w:rPr>
        <w:rFonts w:eastAsia="ＭＳ ゴシック"/>
      </w:rPr>
      <w:fldChar w:fldCharType="end"/>
    </w:r>
    <w:r w:rsidR="00E37CA7">
      <w:rPr>
        <w:rFonts w:eastAsia="ＭＳ ゴシック"/>
      </w:rPr>
      <w:t xml:space="preserve">  </w:t>
    </w:r>
    <w:r>
      <w:rPr>
        <w:rFonts w:eastAsia="ＭＳ ゴシック"/>
      </w:rPr>
      <w:fldChar w:fldCharType="begin"/>
    </w:r>
    <w:r w:rsidR="00C703AA">
      <w:rPr>
        <w:rFonts w:eastAsia="ＭＳ ゴシック"/>
      </w:rPr>
      <w:instrText xml:space="preserve"> DOCVARIABLE  iucrcategory  \* MERGEFORMAT </w:instrText>
    </w:r>
    <w:r>
      <w:rPr>
        <w:rFonts w:eastAsia="ＭＳ ゴシック"/>
      </w:rPr>
      <w:fldChar w:fldCharType="separate"/>
    </w:r>
    <w:r w:rsidR="006718BF">
      <w:rPr>
        <w:rFonts w:eastAsia="ＭＳ ゴシック"/>
      </w:rPr>
      <w:t>research papers</w:t>
    </w:r>
    <w:r>
      <w:rPr>
        <w:rFonts w:eastAsia="ＭＳ ゴシック"/>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A61DB" w14:textId="1597D2E8" w:rsidR="00DC1E15" w:rsidRPr="0046424E" w:rsidRDefault="00F90EFE" w:rsidP="0046424E">
    <w:pPr>
      <w:pStyle w:val="IUCrsansparagraph"/>
      <w:pBdr>
        <w:bottom w:val="single" w:sz="4" w:space="1" w:color="auto"/>
      </w:pBdr>
      <w:tabs>
        <w:tab w:val="right" w:pos="9026"/>
      </w:tabs>
    </w:pPr>
    <w:r>
      <w:rPr>
        <w:rFonts w:eastAsia="ＭＳ ゴシック"/>
      </w:rPr>
      <w:fldChar w:fldCharType="begin"/>
    </w:r>
    <w:r w:rsidR="0046424E">
      <w:rPr>
        <w:rFonts w:eastAsia="ＭＳ ゴシック"/>
      </w:rPr>
      <w:instrText xml:space="preserve"> DOCVARIABLE  iucrjournal  \* MERGEFORMAT </w:instrText>
    </w:r>
    <w:r>
      <w:rPr>
        <w:rFonts w:eastAsia="ＭＳ ゴシック"/>
      </w:rPr>
      <w:fldChar w:fldCharType="separate"/>
    </w:r>
    <w:r w:rsidR="006718BF">
      <w:rPr>
        <w:rFonts w:eastAsia="ＭＳ ゴシック"/>
      </w:rPr>
      <w:t>Journal of Synchrotron Radiation</w:t>
    </w:r>
    <w:r>
      <w:rPr>
        <w:rFonts w:eastAsia="ＭＳ ゴシック"/>
      </w:rPr>
      <w:fldChar w:fldCharType="end"/>
    </w:r>
    <w:r w:rsidR="0046424E">
      <w:rPr>
        <w:rFonts w:eastAsia="ＭＳ ゴシック"/>
      </w:rPr>
      <w:tab/>
    </w:r>
    <w:r>
      <w:rPr>
        <w:rFonts w:eastAsia="ＭＳ ゴシック"/>
      </w:rPr>
      <w:fldChar w:fldCharType="begin"/>
    </w:r>
    <w:r w:rsidR="0046424E">
      <w:rPr>
        <w:rFonts w:eastAsia="ＭＳ ゴシック"/>
      </w:rPr>
      <w:instrText xml:space="preserve"> DOCVARIABLE  iucrfield  \* MERGEFORMAT </w:instrText>
    </w:r>
    <w:r>
      <w:rPr>
        <w:rFonts w:eastAsia="ＭＳ ゴシック"/>
      </w:rPr>
      <w:fldChar w:fldCharType="separate"/>
    </w:r>
    <w:r w:rsidR="006718BF">
      <w:rPr>
        <w:rFonts w:eastAsia="ＭＳ ゴシック"/>
      </w:rPr>
      <w:t xml:space="preserve"> </w:t>
    </w:r>
    <w:r>
      <w:rPr>
        <w:rFonts w:eastAsia="ＭＳ ゴシック"/>
      </w:rPr>
      <w:fldChar w:fldCharType="end"/>
    </w:r>
    <w:r w:rsidR="0046424E">
      <w:rPr>
        <w:rFonts w:eastAsia="ＭＳ ゴシック"/>
      </w:rPr>
      <w:t xml:space="preserve">  </w:t>
    </w:r>
    <w:r>
      <w:rPr>
        <w:rFonts w:eastAsia="ＭＳ ゴシック"/>
      </w:rPr>
      <w:fldChar w:fldCharType="begin"/>
    </w:r>
    <w:r w:rsidR="0046424E">
      <w:rPr>
        <w:rFonts w:eastAsia="ＭＳ ゴシック"/>
      </w:rPr>
      <w:instrText xml:space="preserve"> DOCVARIABLE  iucrcategory  \* MERGEFORMAT </w:instrText>
    </w:r>
    <w:r>
      <w:rPr>
        <w:rFonts w:eastAsia="ＭＳ ゴシック"/>
      </w:rPr>
      <w:fldChar w:fldCharType="separate"/>
    </w:r>
    <w:r w:rsidR="006718BF">
      <w:rPr>
        <w:rFonts w:eastAsia="ＭＳ ゴシック"/>
      </w:rPr>
      <w:t>research papers</w:t>
    </w:r>
    <w:r>
      <w:rPr>
        <w:rFonts w:eastAsia="ＭＳ ゴシック"/>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91AE390"/>
    <w:lvl w:ilvl="0">
      <w:start w:val="1"/>
      <w:numFmt w:val="decimal"/>
      <w:pStyle w:val="IUCrheading1"/>
      <w:suff w:val="space"/>
      <w:lvlText w:val="%1."/>
      <w:lvlJc w:val="left"/>
      <w:rPr>
        <w:rFonts w:hint="default"/>
      </w:rPr>
    </w:lvl>
    <w:lvl w:ilvl="1">
      <w:start w:val="1"/>
      <w:numFmt w:val="decimal"/>
      <w:pStyle w:val="IUCrheading2"/>
      <w:suff w:val="space"/>
      <w:lvlText w:val="%1.%2."/>
      <w:lvlJc w:val="left"/>
      <w:rPr>
        <w:rFonts w:hint="default"/>
      </w:rPr>
    </w:lvl>
    <w:lvl w:ilvl="2">
      <w:start w:val="1"/>
      <w:numFmt w:val="decimal"/>
      <w:pStyle w:val="IUCrheading3"/>
      <w:suff w:val="space"/>
      <w:lvlText w:val="%1.%2.%3."/>
      <w:lvlJc w:val="left"/>
      <w:rPr>
        <w:rFonts w:hint="default"/>
      </w:rPr>
    </w:lvl>
    <w:lvl w:ilvl="3">
      <w:start w:val="1"/>
      <w:numFmt w:val="decimal"/>
      <w:lvlText w:val="%1.%2.%3.%4"/>
      <w:lvlJc w:val="left"/>
      <w:pPr>
        <w:tabs>
          <w:tab w:val="num" w:pos="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1" w15:restartNumberingAfterBreak="0">
    <w:nsid w:val="01BC31E4"/>
    <w:multiLevelType w:val="singleLevel"/>
    <w:tmpl w:val="A6DCF4D4"/>
    <w:lvl w:ilvl="0">
      <w:start w:val="1"/>
      <w:numFmt w:val="none"/>
      <w:pStyle w:val="IUCrabstract"/>
      <w:lvlText w:val="Abstract"/>
      <w:lvlJc w:val="left"/>
      <w:pPr>
        <w:tabs>
          <w:tab w:val="num" w:pos="1080"/>
        </w:tabs>
      </w:pPr>
      <w:rPr>
        <w:rFonts w:ascii="Arial" w:hAnsi="Arial" w:cs="Arial" w:hint="default"/>
        <w:b/>
        <w:i w:val="0"/>
        <w:sz w:val="20"/>
        <w:szCs w:val="20"/>
      </w:rPr>
    </w:lvl>
  </w:abstractNum>
  <w:abstractNum w:abstractNumId="2" w15:restartNumberingAfterBreak="0">
    <w:nsid w:val="12DD598B"/>
    <w:multiLevelType w:val="singleLevel"/>
    <w:tmpl w:val="6EF2BB22"/>
    <w:lvl w:ilvl="0">
      <w:start w:val="1"/>
      <w:numFmt w:val="decimal"/>
      <w:pStyle w:val="IUCrfigurecaption"/>
      <w:lvlText w:val="Figure %1"/>
      <w:lvlJc w:val="left"/>
      <w:pPr>
        <w:tabs>
          <w:tab w:val="num" w:pos="1440"/>
        </w:tabs>
      </w:pPr>
      <w:rPr>
        <w:rFonts w:ascii="Arial" w:hAnsi="Arial" w:cs="Arial" w:hint="default"/>
        <w:b/>
        <w:i w:val="0"/>
      </w:rPr>
    </w:lvl>
  </w:abstractNum>
  <w:abstractNum w:abstractNumId="3" w15:restartNumberingAfterBreak="0">
    <w:nsid w:val="13111DF6"/>
    <w:multiLevelType w:val="singleLevel"/>
    <w:tmpl w:val="860CF8B2"/>
    <w:lvl w:ilvl="0">
      <w:start w:val="1"/>
      <w:numFmt w:val="none"/>
      <w:pStyle w:val="IUCrsynopsis"/>
      <w:lvlText w:val="Synopsis"/>
      <w:lvlJc w:val="left"/>
      <w:pPr>
        <w:tabs>
          <w:tab w:val="num" w:pos="1080"/>
        </w:tabs>
        <w:ind w:left="0" w:firstLine="0"/>
      </w:pPr>
      <w:rPr>
        <w:rFonts w:ascii="Arial" w:hAnsi="Arial" w:cs="Times New Roman" w:hint="default"/>
        <w:b/>
        <w:i w:val="0"/>
        <w:sz w:val="20"/>
      </w:rPr>
    </w:lvl>
  </w:abstractNum>
  <w:abstractNum w:abstractNumId="4" w15:restartNumberingAfterBreak="0">
    <w:nsid w:val="15A803CA"/>
    <w:multiLevelType w:val="hybridMultilevel"/>
    <w:tmpl w:val="0C929AB0"/>
    <w:lvl w:ilvl="0" w:tplc="D55E1406">
      <w:start w:val="1"/>
      <w:numFmt w:val="decimal"/>
      <w:pStyle w:val="IUCrsupfigurecaption"/>
      <w:lvlText w:val="Figure S%1"/>
      <w:lvlJc w:val="left"/>
      <w:pPr>
        <w:ind w:left="0" w:firstLine="0"/>
      </w:pPr>
      <w:rPr>
        <w:rFonts w:ascii="Arial" w:hAnsi="Arial" w:cs="Arial"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0139FA"/>
    <w:multiLevelType w:val="hybridMultilevel"/>
    <w:tmpl w:val="A00EE6F6"/>
    <w:lvl w:ilvl="0" w:tplc="C502625A">
      <w:start w:val="1"/>
      <w:numFmt w:val="decimal"/>
      <w:pStyle w:val="IUCrsuptablecaption"/>
      <w:lvlText w:val="Table S%1"/>
      <w:lvlJc w:val="left"/>
      <w:pPr>
        <w:ind w:left="0" w:firstLine="0"/>
      </w:pPr>
      <w:rPr>
        <w:rFonts w:ascii="Arial" w:hAnsi="Arial" w:cs="Times New Roman"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A34ECA"/>
    <w:multiLevelType w:val="multilevel"/>
    <w:tmpl w:val="64F2F17C"/>
    <w:styleLink w:val="IUCrsup"/>
    <w:lvl w:ilvl="0">
      <w:start w:val="1"/>
      <w:numFmt w:val="decimal"/>
      <w:pStyle w:val="IUCrsupheading1"/>
      <w:suff w:val="space"/>
      <w:lvlText w:val="S%1."/>
      <w:lvlJc w:val="left"/>
      <w:pPr>
        <w:ind w:left="0" w:firstLine="0"/>
      </w:pPr>
      <w:rPr>
        <w:rFonts w:hint="default"/>
      </w:rPr>
    </w:lvl>
    <w:lvl w:ilvl="1">
      <w:start w:val="1"/>
      <w:numFmt w:val="decimal"/>
      <w:pStyle w:val="IUCrsupheading2"/>
      <w:suff w:val="space"/>
      <w:lvlText w:val="S%1.%2."/>
      <w:lvlJc w:val="left"/>
      <w:pPr>
        <w:ind w:left="0" w:firstLine="0"/>
      </w:pPr>
      <w:rPr>
        <w:rFonts w:hint="default"/>
      </w:rPr>
    </w:lvl>
    <w:lvl w:ilvl="2">
      <w:start w:val="1"/>
      <w:numFmt w:val="decimal"/>
      <w:pStyle w:val="IUCrsupheading3"/>
      <w:suff w:val="space"/>
      <w:lvlText w:val="S%1.%2.%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5A1B1813"/>
    <w:multiLevelType w:val="multilevel"/>
    <w:tmpl w:val="64F2F17C"/>
    <w:numStyleLink w:val="IUCrsup"/>
  </w:abstractNum>
  <w:abstractNum w:abstractNumId="8" w15:restartNumberingAfterBreak="0">
    <w:nsid w:val="5A8A3C3E"/>
    <w:multiLevelType w:val="multilevel"/>
    <w:tmpl w:val="966429A2"/>
    <w:lvl w:ilvl="0">
      <w:start w:val="1"/>
      <w:numFmt w:val="upperLetter"/>
      <w:pStyle w:val="IUCrappendixheading1"/>
      <w:suff w:val="space"/>
      <w:lvlText w:val="Appendix %1."/>
      <w:lvlJc w:val="left"/>
      <w:rPr>
        <w:rFonts w:hint="default"/>
      </w:rPr>
    </w:lvl>
    <w:lvl w:ilvl="1">
      <w:start w:val="1"/>
      <w:numFmt w:val="decimal"/>
      <w:pStyle w:val="IUCrappendixheading2"/>
      <w:suff w:val="space"/>
      <w:lvlText w:val="%1%2."/>
      <w:lvlJc w:val="left"/>
      <w:rPr>
        <w:rFonts w:hint="default"/>
      </w:rPr>
    </w:lvl>
    <w:lvl w:ilvl="2">
      <w:start w:val="1"/>
      <w:numFmt w:val="decimal"/>
      <w:pStyle w:val="IUCrappendixheading3"/>
      <w:suff w:val="space"/>
      <w:lvlText w:val="%1%2.%3."/>
      <w:lvlJc w:val="left"/>
      <w:rPr>
        <w:rFonts w:hint="default"/>
      </w:rPr>
    </w:lvl>
    <w:lvl w:ilvl="3">
      <w:start w:val="1"/>
      <w:numFmt w:val="decimal"/>
      <w:lvlText w:val="%1.%2.%3.%4"/>
      <w:lvlJc w:val="left"/>
      <w:pPr>
        <w:tabs>
          <w:tab w:val="num" w:pos="720"/>
        </w:tabs>
      </w:pPr>
      <w:rPr>
        <w:rFonts w:hint="default"/>
      </w:rPr>
    </w:lvl>
    <w:lvl w:ilvl="4">
      <w:start w:val="1"/>
      <w:numFmt w:val="decimal"/>
      <w:lvlText w:val="%1.%2.%3.%4.%5"/>
      <w:lvlJc w:val="left"/>
      <w:pPr>
        <w:tabs>
          <w:tab w:val="num" w:pos="0"/>
        </w:tabs>
      </w:pPr>
      <w:rPr>
        <w:rFonts w:hint="default"/>
      </w:rPr>
    </w:lvl>
    <w:lvl w:ilvl="5">
      <w:start w:val="1"/>
      <w:numFmt w:val="decimal"/>
      <w:lvlText w:val="%1.%2.%3.%4.%5.%6"/>
      <w:lvlJc w:val="left"/>
      <w:pPr>
        <w:tabs>
          <w:tab w:val="num" w:pos="0"/>
        </w:tabs>
      </w:pPr>
      <w:rPr>
        <w:rFonts w:hint="default"/>
      </w:rPr>
    </w:lvl>
    <w:lvl w:ilvl="6">
      <w:start w:val="1"/>
      <w:numFmt w:val="decimal"/>
      <w:lvlText w:val="%1.%2.%3.%4.%5.%6.%7"/>
      <w:lvlJc w:val="left"/>
      <w:pPr>
        <w:tabs>
          <w:tab w:val="num" w:pos="0"/>
        </w:tabs>
      </w:pPr>
      <w:rPr>
        <w:rFonts w:hint="default"/>
      </w:rPr>
    </w:lvl>
    <w:lvl w:ilvl="7">
      <w:start w:val="1"/>
      <w:numFmt w:val="decimal"/>
      <w:lvlText w:val="%1.%2.%3.%4.%5.%6.%7.%8"/>
      <w:lvlJc w:val="left"/>
      <w:pPr>
        <w:tabs>
          <w:tab w:val="num" w:pos="0"/>
        </w:tabs>
      </w:pPr>
      <w:rPr>
        <w:rFonts w:hint="default"/>
      </w:rPr>
    </w:lvl>
    <w:lvl w:ilvl="8">
      <w:start w:val="1"/>
      <w:numFmt w:val="decimal"/>
      <w:lvlText w:val="%1.%2.%3.%4.%5.%6.%7.%8.%9"/>
      <w:lvlJc w:val="left"/>
      <w:pPr>
        <w:tabs>
          <w:tab w:val="num" w:pos="0"/>
        </w:tabs>
      </w:pPr>
      <w:rPr>
        <w:rFonts w:hint="default"/>
      </w:rPr>
    </w:lvl>
  </w:abstractNum>
  <w:abstractNum w:abstractNumId="9" w15:restartNumberingAfterBreak="0">
    <w:nsid w:val="610265C3"/>
    <w:multiLevelType w:val="singleLevel"/>
    <w:tmpl w:val="9956E4BC"/>
    <w:lvl w:ilvl="0">
      <w:start w:val="1"/>
      <w:numFmt w:val="none"/>
      <w:pStyle w:val="IUCrkeywords"/>
      <w:lvlText w:val="Keywords:"/>
      <w:lvlJc w:val="left"/>
      <w:pPr>
        <w:tabs>
          <w:tab w:val="num" w:pos="1440"/>
        </w:tabs>
      </w:pPr>
      <w:rPr>
        <w:rFonts w:ascii="Arial" w:hAnsi="Arial" w:cs="Arial" w:hint="default"/>
        <w:b/>
        <w:i w:val="0"/>
      </w:rPr>
    </w:lvl>
  </w:abstractNum>
  <w:abstractNum w:abstractNumId="10" w15:restartNumberingAfterBreak="0">
    <w:nsid w:val="64B3704D"/>
    <w:multiLevelType w:val="singleLevel"/>
    <w:tmpl w:val="6B58AD02"/>
    <w:lvl w:ilvl="0">
      <w:start w:val="1"/>
      <w:numFmt w:val="decimal"/>
      <w:pStyle w:val="IUCrtablecaption"/>
      <w:lvlText w:val="Table %1"/>
      <w:lvlJc w:val="left"/>
      <w:pPr>
        <w:tabs>
          <w:tab w:val="num" w:pos="1440"/>
        </w:tabs>
        <w:ind w:left="0" w:firstLine="0"/>
      </w:pPr>
      <w:rPr>
        <w:rFonts w:ascii="Arial" w:hAnsi="Arial" w:cs="Times New Roman" w:hint="default"/>
        <w:b/>
        <w:i w:val="0"/>
      </w:rPr>
    </w:lvl>
  </w:abstractNum>
  <w:abstractNum w:abstractNumId="11" w15:restartNumberingAfterBreak="0">
    <w:nsid w:val="6F3B75D4"/>
    <w:multiLevelType w:val="singleLevel"/>
    <w:tmpl w:val="1D3859F4"/>
    <w:lvl w:ilvl="0">
      <w:start w:val="1"/>
      <w:numFmt w:val="none"/>
      <w:pStyle w:val="IUCracknowledgements"/>
      <w:lvlText w:val="Acknowledgements"/>
      <w:lvlJc w:val="left"/>
      <w:pPr>
        <w:tabs>
          <w:tab w:val="num" w:pos="2160"/>
        </w:tabs>
      </w:pPr>
      <w:rPr>
        <w:rFonts w:ascii="Arial" w:hAnsi="Arial" w:cs="Arial" w:hint="default"/>
        <w:b/>
        <w:i w:val="0"/>
        <w:sz w:val="20"/>
        <w:szCs w:val="20"/>
      </w:rPr>
    </w:lvl>
  </w:abstractNum>
  <w:num w:numId="1" w16cid:durableId="103230390">
    <w:abstractNumId w:val="1"/>
  </w:num>
  <w:num w:numId="2" w16cid:durableId="2035228480">
    <w:abstractNumId w:val="11"/>
  </w:num>
  <w:num w:numId="3" w16cid:durableId="563226449">
    <w:abstractNumId w:val="8"/>
  </w:num>
  <w:num w:numId="4" w16cid:durableId="1042634210">
    <w:abstractNumId w:val="2"/>
  </w:num>
  <w:num w:numId="5" w16cid:durableId="509877538">
    <w:abstractNumId w:val="0"/>
  </w:num>
  <w:num w:numId="6" w16cid:durableId="801847235">
    <w:abstractNumId w:val="9"/>
  </w:num>
  <w:num w:numId="7" w16cid:durableId="936132152">
    <w:abstractNumId w:val="6"/>
  </w:num>
  <w:num w:numId="8" w16cid:durableId="1324047756">
    <w:abstractNumId w:val="4"/>
  </w:num>
  <w:num w:numId="9" w16cid:durableId="288753428">
    <w:abstractNumId w:val="7"/>
  </w:num>
  <w:num w:numId="10" w16cid:durableId="1001160203">
    <w:abstractNumId w:val="10"/>
  </w:num>
  <w:num w:numId="11" w16cid:durableId="1285186445">
    <w:abstractNumId w:val="5"/>
  </w:num>
  <w:num w:numId="12" w16cid:durableId="2033146241">
    <w:abstractNumId w:val="3"/>
  </w:num>
  <w:num w:numId="13" w16cid:durableId="1618640296">
    <w:abstractNumId w:val="1"/>
  </w:num>
  <w:num w:numId="14" w16cid:durableId="327175775">
    <w:abstractNumId w:val="11"/>
  </w:num>
  <w:num w:numId="15" w16cid:durableId="1935817711">
    <w:abstractNumId w:val="8"/>
  </w:num>
  <w:num w:numId="16" w16cid:durableId="438574594">
    <w:abstractNumId w:val="8"/>
  </w:num>
  <w:num w:numId="17" w16cid:durableId="680737825">
    <w:abstractNumId w:val="8"/>
  </w:num>
  <w:num w:numId="18" w16cid:durableId="2118715157">
    <w:abstractNumId w:val="2"/>
  </w:num>
  <w:num w:numId="19" w16cid:durableId="2015959282">
    <w:abstractNumId w:val="0"/>
  </w:num>
  <w:num w:numId="20" w16cid:durableId="1566722835">
    <w:abstractNumId w:val="0"/>
  </w:num>
  <w:num w:numId="21" w16cid:durableId="48846285">
    <w:abstractNumId w:val="0"/>
  </w:num>
  <w:num w:numId="22" w16cid:durableId="283584062">
    <w:abstractNumId w:val="9"/>
  </w:num>
  <w:num w:numId="23" w16cid:durableId="592709236">
    <w:abstractNumId w:val="6"/>
  </w:num>
  <w:num w:numId="24" w16cid:durableId="1622688714">
    <w:abstractNumId w:val="4"/>
  </w:num>
  <w:num w:numId="25" w16cid:durableId="1966083929">
    <w:abstractNumId w:val="7"/>
  </w:num>
  <w:num w:numId="26" w16cid:durableId="742263939">
    <w:abstractNumId w:val="7"/>
  </w:num>
  <w:num w:numId="27" w16cid:durableId="1320428246">
    <w:abstractNumId w:val="7"/>
  </w:num>
  <w:num w:numId="28" w16cid:durableId="343287268">
    <w:abstractNumId w:val="10"/>
  </w:num>
  <w:num w:numId="29" w16cid:durableId="848523412">
    <w:abstractNumId w:val="5"/>
  </w:num>
  <w:num w:numId="30" w16cid:durableId="1586526022">
    <w:abstractNumId w:val="3"/>
  </w:num>
  <w:num w:numId="31" w16cid:durableId="597911272">
    <w:abstractNumId w:val="11"/>
    <w:lvlOverride w:ilvl="0">
      <w:startOverride w:val="1"/>
    </w:lvlOverride>
  </w:num>
  <w:num w:numId="32" w16cid:durableId="5254070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5788050">
    <w:abstractNumId w:val="2"/>
    <w:lvlOverride w:ilvl="0">
      <w:startOverride w:val="1"/>
    </w:lvlOverride>
  </w:num>
  <w:num w:numId="34" w16cid:durableId="4868702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02096523">
    <w:abstractNumId w:val="10"/>
    <w:lvlOverride w:ilvl="0">
      <w:startOverride w:val="1"/>
    </w:lvlOverride>
  </w:num>
  <w:num w:numId="36" w16cid:durableId="2432231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232795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327281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97045264">
    <w:abstractNumId w:val="1"/>
    <w:lvlOverride w:ilvl="0">
      <w:startOverride w:val="1"/>
    </w:lvlOverride>
  </w:num>
  <w:num w:numId="40" w16cid:durableId="547646390">
    <w:abstractNumId w:val="9"/>
    <w:lvlOverride w:ilvl="0">
      <w:startOverride w:val="1"/>
    </w:lvlOverride>
  </w:num>
  <w:num w:numId="41" w16cid:durableId="509030494">
    <w:abstractNumId w:val="3"/>
    <w:lvlOverride w:ilvl="0">
      <w:startOverride w:val="1"/>
    </w:lvlOverride>
  </w:num>
  <w:num w:numId="42" w16cid:durableId="210193759">
    <w:abstractNumId w:val="3"/>
    <w:lvlOverride w:ilvl="0">
      <w:startOverride w:val="1"/>
    </w:lvlOverride>
  </w:num>
  <w:num w:numId="43" w16cid:durableId="146479782">
    <w:abstractNumId w:val="1"/>
    <w:lvlOverride w:ilvl="0">
      <w:startOverride w:val="1"/>
    </w:lvlOverride>
  </w:num>
  <w:num w:numId="44" w16cid:durableId="2064020776">
    <w:abstractNumId w:val="9"/>
    <w:lvlOverride w:ilvl="0">
      <w:startOverride w:val="1"/>
    </w:lvlOverride>
  </w:num>
  <w:num w:numId="45" w16cid:durableId="14943716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52993839">
    <w:abstractNumId w:val="2"/>
    <w:lvlOverride w:ilvl="0">
      <w:startOverride w:val="1"/>
    </w:lvlOverride>
  </w:num>
  <w:num w:numId="47" w16cid:durableId="1705909135">
    <w:abstractNumId w:val="11"/>
    <w:lvlOverride w:ilvl="0">
      <w:startOverride w:val="1"/>
    </w:lvlOverride>
  </w:num>
  <w:num w:numId="48" w16cid:durableId="2709361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attachedTemplate r:id="rId1"/>
  <w:linkStyles/>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iucrauthors" w:val="&lt;iucr:authors xmlns:iucr=&quot;http://www.iucr.org/publauthors&quot; &gt;&lt;author&gt;&lt;title&gt;&lt;/title&gt;&lt;prefix&gt;&lt;/prefix&gt;&lt;forename&gt;&lt;/forename&gt;&lt;surname&gt;&lt;/surname&gt;&lt;suffix&gt;&lt;/suffix&gt;&lt;email&gt;&lt;/email&gt;&lt;corrauthor&gt;&lt;/corrauthor&gt;&lt;contactauthor&gt;&lt;/contactauthor&gt;&lt;note&gt;&lt;/note&gt;&lt;iucrid&gt;&lt;/iucrid&gt;&lt;addrid&gt;&lt;/addrid&gt;&lt;/author&gt;&lt;/iucr:authors&gt;&lt;iucr:addresses xmlns:iucr=&quot;http://www.iucr.org/publaddressess&quot; &gt;&lt;address&gt;&lt;id&gt;&lt;/id&gt;&lt;department&gt;&lt;/department&gt;&lt;organization&gt;&lt;/organization&gt;&lt;street&gt;&lt;/street&gt;&lt;city&gt;&lt;/city&gt;&lt;province&gt;&lt;/province&gt;&lt;code&gt;&lt;/code&gt;&lt;country&gt;&lt;/country&gt;&lt;/address&gt;&lt;/iucr:addresses&gt;&lt;iucr:publjnl xmlns:iucr=&quot;http//www.iucr.org/publjnl&quot;&gt;&lt;jnlname&gt;Journal of Synchrotron Radiation&lt;/jnlname&gt;&lt;jnlcategory&gt;research papers&lt;/jnlcategory&gt;&lt;jnlfield&gt; &lt;/jnlfield&gt;&lt;/iucr:publjnl&gt;"/>
    <w:docVar w:name="iucrcategory" w:val="research papers"/>
    <w:docVar w:name="iucrdocument" w:val="&lt;?xml version=&quot;1.0&quot; encoding=&quot;utf-8&quot; ?&gt;&lt;iucr:document xmlns:iucr=&quot;http://www.iucr.org/publdocument&quot;&gt;&lt;title&gt;The role of carboxylate ligand orbitals in the breathing dynamics of a metal-organic framework by resonant x-ray emission spectroscopy (RXES)&lt;/title&gt;&lt;iucr:authors xmlns:iucr=&quot;http://www.iucr.org/publauthors&quot; &gt;&lt;author&gt;&lt;title&gt;&lt;/title&gt;&lt;prefix&gt;&lt;/prefix&gt;&lt;forename&gt;&lt;/forename&gt;&lt;surname&gt;&lt;/surname&gt;&lt;suffix&gt;&lt;/suffix&gt;&lt;email&gt;&lt;/email&gt;&lt;corrauthor&gt;&lt;/corrauthor&gt;&lt;contactauthor&gt;&lt;/contactauthor&gt;&lt;note&gt;&lt;/note&gt;&lt;iucrid&gt;&lt;/iucrid&gt;&lt;addrid&gt;&lt;/addrid&gt;&lt;/author&gt;&lt;/iucr:authors&gt;&lt;iucr:addresses xmlns:iucr=&quot;http://www.iucr.org/publaddressess&quot; &gt;&lt;address&gt;&lt;id&gt;&lt;/id&gt;&lt;department&gt;&lt;/department&gt;&lt;organization&gt;&lt;/organization&gt;&lt;street&gt;&lt;/street&gt;&lt;city&gt;&lt;/city&gt;&lt;province&gt;&lt;/province&gt;&lt;code&gt;&lt;/code&gt;&lt;country&gt;&lt;/country&gt;&lt;/address&gt;&lt;/iucr:addresses&gt;&lt;iucr:publjnl xmlns:iucr=&quot;http//www.iucr.org/publjnl&quot;&gt;&lt;jnlname&gt;Journal of Synchrotron Radiation&lt;/jnlname&gt;&lt;jnlcategory&gt;research papers&lt;/jnlcategory&gt;&lt;jnlfield&gt; &lt;/jnlfield&gt;&lt;/iucr:publjnl&gt;&lt;keywords&gt;resonant x-ray emission spectroscopy; phase transition; metal-organic framework&lt;/keywords&gt;&lt;synopsis&gt;Orbital occupancy of the ligand carboxylate in-plane lone pair orbitals modulates the vibrational dynamics of certain breathing modes responsible for the structural phase transition of a carboxylate metal-organic framework.&lt;/synopsis&gt;&lt;abstract&gt;Metal-organic frameworks (MOFs) exhibit structural flexibility induced by temperature and guest adsorption, as demonstrated in the structural breathing transition in certain MOFs between narrow-pore and large-pore phases. Soft modes were suggested to entropically drive such pore breathing through enhanced vibrational dynamics at high temperatures. In this work, oxygen K edge resonant x-ray emission spectroscopy (RXES) for the MIL-53(Al) MOF was performed to selectively probe the electronic perturbation accompanying pore breathing dynamics at the ligand carboxylate site for metal-ligand interaction. It was observed that the temperature-induced vibrational dynamics involves switching occupancy between antisymmetric and symmetric configurations of the carboxylate oxygen lone pair orbitals, through which electron density around carboxylate oxygen sites is redistributed and metal-ligand interaction is tuned. In turn, water adsorption involves an additional perturbation of π orbitals not observed in the structural change solely induced by temperature.&lt;/abstract&gt;&lt;titleHtml&gt;&lt;![CDATA[ The role of carboxylate ligand orbitals in the breathing dynamics of a metal-organic framework by resonant x-ray emission spectroscopy (RXES) ]]&gt;&lt;/titleHtml&gt;&lt;synopsisHtml&gt;&lt;![CDATA[ Orbital occupancy of the ligand carboxylate in-plane lone pair orbitals modulates the vibrational dynamics of certain breathing modes responsible for the structural phase transition of a carboxylate metal-organic framework. ]]&gt;&lt;/synopsisHtml&gt;&lt;abstractHtml&gt;&lt;![CDATA[ Metal-organic frameworks (MOFs) exhibit structural flexibility induced by temperature and guest adsorption, as demonstrated in the structural breathing transition in certain MOFs between narrow-pore and large-pore phases. Soft modes were suggested to entropically drive such pore breathing through enhanced vibrational dynamics at high temperatures. In this work, oxygen K edge resonant x-ray emission spectroscopy (RXES) for the MIL-53(Al) MOF was performed to selectively probe the electronic perturbation accompanying pore breathing dynamics at the ligand carboxylate site for metal-ligand interaction. It was observed that the temperature-induced vibrational dynamics involves switching occupancy between antisymmetric and symmetric configurations of the carboxylate oxygen lone pair orbitals, through which electron density around carboxylate oxygen sites is redistributed and metal-ligand interaction is tuned. In turn, water adsorption involves an additional perturbation of π orbitals not observed in the structural change solely induced by temperature. ]]&gt;&lt;/abstractHtml&gt;&lt;/iucr:document&gt;"/>
    <w:docVar w:name="iucrfield" w:val=" "/>
    <w:docVar w:name="iucrjournal" w:val="Journal of Synchrotron Radiation"/>
  </w:docVars>
  <w:rsids>
    <w:rsidRoot w:val="006718BF"/>
    <w:rsid w:val="0000259B"/>
    <w:rsid w:val="00015FAF"/>
    <w:rsid w:val="00015FE3"/>
    <w:rsid w:val="00016BC4"/>
    <w:rsid w:val="00022D3D"/>
    <w:rsid w:val="00023AC0"/>
    <w:rsid w:val="00024728"/>
    <w:rsid w:val="00030155"/>
    <w:rsid w:val="000337ED"/>
    <w:rsid w:val="0003597A"/>
    <w:rsid w:val="00035D2A"/>
    <w:rsid w:val="00040F39"/>
    <w:rsid w:val="00041632"/>
    <w:rsid w:val="00043862"/>
    <w:rsid w:val="000467F4"/>
    <w:rsid w:val="00051613"/>
    <w:rsid w:val="0005370C"/>
    <w:rsid w:val="000650B0"/>
    <w:rsid w:val="000669B7"/>
    <w:rsid w:val="0006720B"/>
    <w:rsid w:val="00067EC1"/>
    <w:rsid w:val="00071BF1"/>
    <w:rsid w:val="00073161"/>
    <w:rsid w:val="00081025"/>
    <w:rsid w:val="000839FF"/>
    <w:rsid w:val="00092329"/>
    <w:rsid w:val="0009284F"/>
    <w:rsid w:val="00092DCD"/>
    <w:rsid w:val="00097C16"/>
    <w:rsid w:val="000A3F82"/>
    <w:rsid w:val="000A55F3"/>
    <w:rsid w:val="000B2E1C"/>
    <w:rsid w:val="000D17A6"/>
    <w:rsid w:val="000D582E"/>
    <w:rsid w:val="000D74CF"/>
    <w:rsid w:val="000E553E"/>
    <w:rsid w:val="000F08E1"/>
    <w:rsid w:val="000F674A"/>
    <w:rsid w:val="000F6D5E"/>
    <w:rsid w:val="0010296D"/>
    <w:rsid w:val="00103BE8"/>
    <w:rsid w:val="001110EA"/>
    <w:rsid w:val="00114786"/>
    <w:rsid w:val="0011715D"/>
    <w:rsid w:val="001174FA"/>
    <w:rsid w:val="00120A31"/>
    <w:rsid w:val="001257AE"/>
    <w:rsid w:val="001266B1"/>
    <w:rsid w:val="00126E97"/>
    <w:rsid w:val="00131304"/>
    <w:rsid w:val="00131608"/>
    <w:rsid w:val="00131FCD"/>
    <w:rsid w:val="00133476"/>
    <w:rsid w:val="00133B02"/>
    <w:rsid w:val="00134622"/>
    <w:rsid w:val="00140A68"/>
    <w:rsid w:val="00142B90"/>
    <w:rsid w:val="00142D4B"/>
    <w:rsid w:val="00142D82"/>
    <w:rsid w:val="00142F8C"/>
    <w:rsid w:val="00145E25"/>
    <w:rsid w:val="0014730E"/>
    <w:rsid w:val="0016493A"/>
    <w:rsid w:val="00166289"/>
    <w:rsid w:val="00166FF9"/>
    <w:rsid w:val="00167B0C"/>
    <w:rsid w:val="00172D7F"/>
    <w:rsid w:val="00181BE8"/>
    <w:rsid w:val="00183451"/>
    <w:rsid w:val="00184606"/>
    <w:rsid w:val="00187A6A"/>
    <w:rsid w:val="001901F8"/>
    <w:rsid w:val="001A0702"/>
    <w:rsid w:val="001B2552"/>
    <w:rsid w:val="001B5C91"/>
    <w:rsid w:val="001C04DE"/>
    <w:rsid w:val="001C0A9A"/>
    <w:rsid w:val="001C4A3A"/>
    <w:rsid w:val="001C5F55"/>
    <w:rsid w:val="001C6879"/>
    <w:rsid w:val="001D2F4A"/>
    <w:rsid w:val="001D338D"/>
    <w:rsid w:val="001E03D3"/>
    <w:rsid w:val="001E4DB5"/>
    <w:rsid w:val="001F0C9D"/>
    <w:rsid w:val="001F7953"/>
    <w:rsid w:val="00200FAE"/>
    <w:rsid w:val="002041AB"/>
    <w:rsid w:val="002113EE"/>
    <w:rsid w:val="002125A3"/>
    <w:rsid w:val="00225C2A"/>
    <w:rsid w:val="00231BBE"/>
    <w:rsid w:val="002334FA"/>
    <w:rsid w:val="002352B4"/>
    <w:rsid w:val="00235812"/>
    <w:rsid w:val="002376E5"/>
    <w:rsid w:val="00242B3E"/>
    <w:rsid w:val="0025193E"/>
    <w:rsid w:val="00252B2D"/>
    <w:rsid w:val="002579C5"/>
    <w:rsid w:val="00257DBA"/>
    <w:rsid w:val="002641D6"/>
    <w:rsid w:val="00264D89"/>
    <w:rsid w:val="00267645"/>
    <w:rsid w:val="00281763"/>
    <w:rsid w:val="002837A8"/>
    <w:rsid w:val="00283EC5"/>
    <w:rsid w:val="00290A3E"/>
    <w:rsid w:val="002934B0"/>
    <w:rsid w:val="002A3334"/>
    <w:rsid w:val="002A4F35"/>
    <w:rsid w:val="002B3DE4"/>
    <w:rsid w:val="002B66E3"/>
    <w:rsid w:val="002C25A7"/>
    <w:rsid w:val="002C5CD6"/>
    <w:rsid w:val="002C5F2E"/>
    <w:rsid w:val="002C660C"/>
    <w:rsid w:val="002D0CE3"/>
    <w:rsid w:val="002D113F"/>
    <w:rsid w:val="002D1368"/>
    <w:rsid w:val="002E49E4"/>
    <w:rsid w:val="002F0013"/>
    <w:rsid w:val="002F1319"/>
    <w:rsid w:val="002F1BB8"/>
    <w:rsid w:val="002F4AB9"/>
    <w:rsid w:val="002F6232"/>
    <w:rsid w:val="00314350"/>
    <w:rsid w:val="0031576B"/>
    <w:rsid w:val="00331A2F"/>
    <w:rsid w:val="00337706"/>
    <w:rsid w:val="00342EBC"/>
    <w:rsid w:val="00345779"/>
    <w:rsid w:val="0034635F"/>
    <w:rsid w:val="003514C2"/>
    <w:rsid w:val="0035161A"/>
    <w:rsid w:val="00352FAE"/>
    <w:rsid w:val="0036131C"/>
    <w:rsid w:val="003639EB"/>
    <w:rsid w:val="00373D7A"/>
    <w:rsid w:val="00377288"/>
    <w:rsid w:val="003806AC"/>
    <w:rsid w:val="0038413C"/>
    <w:rsid w:val="00384D09"/>
    <w:rsid w:val="003900F1"/>
    <w:rsid w:val="003A2F42"/>
    <w:rsid w:val="003A469E"/>
    <w:rsid w:val="003A6DD3"/>
    <w:rsid w:val="003B474D"/>
    <w:rsid w:val="003C1C87"/>
    <w:rsid w:val="003C6225"/>
    <w:rsid w:val="003D3F57"/>
    <w:rsid w:val="003E008A"/>
    <w:rsid w:val="003E0B25"/>
    <w:rsid w:val="003E6D95"/>
    <w:rsid w:val="003F4FD9"/>
    <w:rsid w:val="003F5DEC"/>
    <w:rsid w:val="003F6106"/>
    <w:rsid w:val="00401B26"/>
    <w:rsid w:val="004224D3"/>
    <w:rsid w:val="00430853"/>
    <w:rsid w:val="00443DEA"/>
    <w:rsid w:val="00451F0B"/>
    <w:rsid w:val="00460727"/>
    <w:rsid w:val="00463F86"/>
    <w:rsid w:val="0046424E"/>
    <w:rsid w:val="00472DD8"/>
    <w:rsid w:val="00473B75"/>
    <w:rsid w:val="00473EB7"/>
    <w:rsid w:val="00477F44"/>
    <w:rsid w:val="004915B5"/>
    <w:rsid w:val="00491CF7"/>
    <w:rsid w:val="00494386"/>
    <w:rsid w:val="00496176"/>
    <w:rsid w:val="004B2105"/>
    <w:rsid w:val="004C4561"/>
    <w:rsid w:val="004C62E0"/>
    <w:rsid w:val="004D1198"/>
    <w:rsid w:val="004D6135"/>
    <w:rsid w:val="004D6C06"/>
    <w:rsid w:val="004E17A2"/>
    <w:rsid w:val="004E5EB9"/>
    <w:rsid w:val="004F7166"/>
    <w:rsid w:val="005178EA"/>
    <w:rsid w:val="00521EB9"/>
    <w:rsid w:val="005238B0"/>
    <w:rsid w:val="00525395"/>
    <w:rsid w:val="00527A14"/>
    <w:rsid w:val="005335C1"/>
    <w:rsid w:val="00533742"/>
    <w:rsid w:val="00534562"/>
    <w:rsid w:val="00540823"/>
    <w:rsid w:val="00547594"/>
    <w:rsid w:val="00555D3D"/>
    <w:rsid w:val="00556723"/>
    <w:rsid w:val="00566236"/>
    <w:rsid w:val="00567539"/>
    <w:rsid w:val="00577B3F"/>
    <w:rsid w:val="00592B26"/>
    <w:rsid w:val="005949AC"/>
    <w:rsid w:val="005A19C5"/>
    <w:rsid w:val="005A4E94"/>
    <w:rsid w:val="005A6BDF"/>
    <w:rsid w:val="005B0B1B"/>
    <w:rsid w:val="005B6AB5"/>
    <w:rsid w:val="005B711C"/>
    <w:rsid w:val="005C102C"/>
    <w:rsid w:val="005C5AF6"/>
    <w:rsid w:val="005C632C"/>
    <w:rsid w:val="005D2068"/>
    <w:rsid w:val="005D244B"/>
    <w:rsid w:val="005E2082"/>
    <w:rsid w:val="005F1358"/>
    <w:rsid w:val="005F2A20"/>
    <w:rsid w:val="005F4333"/>
    <w:rsid w:val="006015BF"/>
    <w:rsid w:val="00602B42"/>
    <w:rsid w:val="00602F20"/>
    <w:rsid w:val="006043EA"/>
    <w:rsid w:val="00606AE9"/>
    <w:rsid w:val="00607D96"/>
    <w:rsid w:val="00610F52"/>
    <w:rsid w:val="006129BA"/>
    <w:rsid w:val="00622E5C"/>
    <w:rsid w:val="00625F43"/>
    <w:rsid w:val="00626A02"/>
    <w:rsid w:val="00630E8C"/>
    <w:rsid w:val="00631871"/>
    <w:rsid w:val="00633550"/>
    <w:rsid w:val="006418EE"/>
    <w:rsid w:val="00661D1C"/>
    <w:rsid w:val="00662BDB"/>
    <w:rsid w:val="00665604"/>
    <w:rsid w:val="006718BF"/>
    <w:rsid w:val="00675984"/>
    <w:rsid w:val="00675BA5"/>
    <w:rsid w:val="00677A7E"/>
    <w:rsid w:val="0068102D"/>
    <w:rsid w:val="00683CB4"/>
    <w:rsid w:val="006846A6"/>
    <w:rsid w:val="006930CB"/>
    <w:rsid w:val="00694F8C"/>
    <w:rsid w:val="00696C98"/>
    <w:rsid w:val="006A3314"/>
    <w:rsid w:val="006B6CFB"/>
    <w:rsid w:val="006C021A"/>
    <w:rsid w:val="006D24F4"/>
    <w:rsid w:val="006D31F4"/>
    <w:rsid w:val="006D4621"/>
    <w:rsid w:val="006E0E5E"/>
    <w:rsid w:val="006E1911"/>
    <w:rsid w:val="006E3E5C"/>
    <w:rsid w:val="006E65D8"/>
    <w:rsid w:val="006F261D"/>
    <w:rsid w:val="007107CF"/>
    <w:rsid w:val="00710A0D"/>
    <w:rsid w:val="00713D32"/>
    <w:rsid w:val="007162A4"/>
    <w:rsid w:val="007230E8"/>
    <w:rsid w:val="00733A7E"/>
    <w:rsid w:val="00736702"/>
    <w:rsid w:val="00740CC5"/>
    <w:rsid w:val="00752EE7"/>
    <w:rsid w:val="00753239"/>
    <w:rsid w:val="0075329B"/>
    <w:rsid w:val="00756509"/>
    <w:rsid w:val="00761EA2"/>
    <w:rsid w:val="00761FE1"/>
    <w:rsid w:val="007646E5"/>
    <w:rsid w:val="00765C68"/>
    <w:rsid w:val="007660B8"/>
    <w:rsid w:val="00766DB9"/>
    <w:rsid w:val="007804B5"/>
    <w:rsid w:val="00782404"/>
    <w:rsid w:val="00791087"/>
    <w:rsid w:val="00793A82"/>
    <w:rsid w:val="007A106C"/>
    <w:rsid w:val="007A1096"/>
    <w:rsid w:val="007A4AB3"/>
    <w:rsid w:val="007B04EF"/>
    <w:rsid w:val="007B1DCC"/>
    <w:rsid w:val="007B2FF8"/>
    <w:rsid w:val="007C6CC7"/>
    <w:rsid w:val="007D57AB"/>
    <w:rsid w:val="007D7D3F"/>
    <w:rsid w:val="007E232F"/>
    <w:rsid w:val="007E3564"/>
    <w:rsid w:val="007E377E"/>
    <w:rsid w:val="007E6D67"/>
    <w:rsid w:val="007E7870"/>
    <w:rsid w:val="007E7CAB"/>
    <w:rsid w:val="00804025"/>
    <w:rsid w:val="00815DAC"/>
    <w:rsid w:val="008168CB"/>
    <w:rsid w:val="00825917"/>
    <w:rsid w:val="008303FB"/>
    <w:rsid w:val="00853CC6"/>
    <w:rsid w:val="00855373"/>
    <w:rsid w:val="0086749E"/>
    <w:rsid w:val="008702ED"/>
    <w:rsid w:val="0087673B"/>
    <w:rsid w:val="00877669"/>
    <w:rsid w:val="00881596"/>
    <w:rsid w:val="008947D6"/>
    <w:rsid w:val="00896A09"/>
    <w:rsid w:val="008976C2"/>
    <w:rsid w:val="008A1199"/>
    <w:rsid w:val="008A4FBB"/>
    <w:rsid w:val="008A5351"/>
    <w:rsid w:val="008C255E"/>
    <w:rsid w:val="008D0A82"/>
    <w:rsid w:val="008E3C90"/>
    <w:rsid w:val="008E46D9"/>
    <w:rsid w:val="008E6AF7"/>
    <w:rsid w:val="00905A50"/>
    <w:rsid w:val="009106B3"/>
    <w:rsid w:val="00922944"/>
    <w:rsid w:val="00924CC9"/>
    <w:rsid w:val="00925A6C"/>
    <w:rsid w:val="00925AA7"/>
    <w:rsid w:val="0092601B"/>
    <w:rsid w:val="00927A9D"/>
    <w:rsid w:val="00931C4D"/>
    <w:rsid w:val="00961E57"/>
    <w:rsid w:val="00965775"/>
    <w:rsid w:val="009764B0"/>
    <w:rsid w:val="0098177D"/>
    <w:rsid w:val="00985987"/>
    <w:rsid w:val="00990EE4"/>
    <w:rsid w:val="00992C0E"/>
    <w:rsid w:val="0099617B"/>
    <w:rsid w:val="00997BDF"/>
    <w:rsid w:val="009A4CF4"/>
    <w:rsid w:val="009A7A19"/>
    <w:rsid w:val="009B19C5"/>
    <w:rsid w:val="009B30D7"/>
    <w:rsid w:val="009B54B7"/>
    <w:rsid w:val="009B743E"/>
    <w:rsid w:val="009C02CD"/>
    <w:rsid w:val="009C1C47"/>
    <w:rsid w:val="009C68BF"/>
    <w:rsid w:val="009D050A"/>
    <w:rsid w:val="009D0DC5"/>
    <w:rsid w:val="009D56E4"/>
    <w:rsid w:val="009F1D98"/>
    <w:rsid w:val="009F1E15"/>
    <w:rsid w:val="009F2D0E"/>
    <w:rsid w:val="009F417F"/>
    <w:rsid w:val="00A024A5"/>
    <w:rsid w:val="00A02E9B"/>
    <w:rsid w:val="00A053B6"/>
    <w:rsid w:val="00A108E8"/>
    <w:rsid w:val="00A172CF"/>
    <w:rsid w:val="00A22992"/>
    <w:rsid w:val="00A23523"/>
    <w:rsid w:val="00A23986"/>
    <w:rsid w:val="00A25D69"/>
    <w:rsid w:val="00A26290"/>
    <w:rsid w:val="00A403BC"/>
    <w:rsid w:val="00A42BEA"/>
    <w:rsid w:val="00A448BF"/>
    <w:rsid w:val="00A46EDC"/>
    <w:rsid w:val="00A5367D"/>
    <w:rsid w:val="00A54D21"/>
    <w:rsid w:val="00A63C0F"/>
    <w:rsid w:val="00A75CF1"/>
    <w:rsid w:val="00A762ED"/>
    <w:rsid w:val="00A76A38"/>
    <w:rsid w:val="00A82AE4"/>
    <w:rsid w:val="00A86872"/>
    <w:rsid w:val="00A8790A"/>
    <w:rsid w:val="00A87FD1"/>
    <w:rsid w:val="00A95D9A"/>
    <w:rsid w:val="00AC072E"/>
    <w:rsid w:val="00AC360B"/>
    <w:rsid w:val="00AC3657"/>
    <w:rsid w:val="00AD27E8"/>
    <w:rsid w:val="00AE0E82"/>
    <w:rsid w:val="00AE58D7"/>
    <w:rsid w:val="00AF59CC"/>
    <w:rsid w:val="00AF7C40"/>
    <w:rsid w:val="00B0066C"/>
    <w:rsid w:val="00B00CB8"/>
    <w:rsid w:val="00B02B3A"/>
    <w:rsid w:val="00B05F4F"/>
    <w:rsid w:val="00B1097F"/>
    <w:rsid w:val="00B10BF5"/>
    <w:rsid w:val="00B1101C"/>
    <w:rsid w:val="00B124DE"/>
    <w:rsid w:val="00B14312"/>
    <w:rsid w:val="00B17A5C"/>
    <w:rsid w:val="00B2775C"/>
    <w:rsid w:val="00B30A49"/>
    <w:rsid w:val="00B46D39"/>
    <w:rsid w:val="00B50197"/>
    <w:rsid w:val="00B64650"/>
    <w:rsid w:val="00B64F22"/>
    <w:rsid w:val="00B67437"/>
    <w:rsid w:val="00B73E84"/>
    <w:rsid w:val="00B77D3B"/>
    <w:rsid w:val="00B828AE"/>
    <w:rsid w:val="00B82D53"/>
    <w:rsid w:val="00B907CA"/>
    <w:rsid w:val="00B92D3D"/>
    <w:rsid w:val="00B92F57"/>
    <w:rsid w:val="00B93478"/>
    <w:rsid w:val="00B96439"/>
    <w:rsid w:val="00B97F74"/>
    <w:rsid w:val="00BA235C"/>
    <w:rsid w:val="00BA77DF"/>
    <w:rsid w:val="00BB14DA"/>
    <w:rsid w:val="00BB49A9"/>
    <w:rsid w:val="00BB78F4"/>
    <w:rsid w:val="00BC10B3"/>
    <w:rsid w:val="00BC6B14"/>
    <w:rsid w:val="00BD1BDD"/>
    <w:rsid w:val="00BD3BB0"/>
    <w:rsid w:val="00BD6707"/>
    <w:rsid w:val="00BD754A"/>
    <w:rsid w:val="00BE06AD"/>
    <w:rsid w:val="00BE0FC4"/>
    <w:rsid w:val="00BE333C"/>
    <w:rsid w:val="00BF3CC1"/>
    <w:rsid w:val="00BF7EA5"/>
    <w:rsid w:val="00C00DBD"/>
    <w:rsid w:val="00C023A2"/>
    <w:rsid w:val="00C12FA8"/>
    <w:rsid w:val="00C140BB"/>
    <w:rsid w:val="00C14875"/>
    <w:rsid w:val="00C16334"/>
    <w:rsid w:val="00C222FA"/>
    <w:rsid w:val="00C251DC"/>
    <w:rsid w:val="00C26BE1"/>
    <w:rsid w:val="00C26DAA"/>
    <w:rsid w:val="00C3175C"/>
    <w:rsid w:val="00C33B24"/>
    <w:rsid w:val="00C401F3"/>
    <w:rsid w:val="00C46322"/>
    <w:rsid w:val="00C46915"/>
    <w:rsid w:val="00C50072"/>
    <w:rsid w:val="00C50358"/>
    <w:rsid w:val="00C505FC"/>
    <w:rsid w:val="00C50AC0"/>
    <w:rsid w:val="00C54C14"/>
    <w:rsid w:val="00C554CD"/>
    <w:rsid w:val="00C575E8"/>
    <w:rsid w:val="00C64DEB"/>
    <w:rsid w:val="00C66FCC"/>
    <w:rsid w:val="00C703AA"/>
    <w:rsid w:val="00C75A1C"/>
    <w:rsid w:val="00C851BD"/>
    <w:rsid w:val="00C90EDD"/>
    <w:rsid w:val="00C9375C"/>
    <w:rsid w:val="00C94186"/>
    <w:rsid w:val="00C94AFF"/>
    <w:rsid w:val="00CA1496"/>
    <w:rsid w:val="00CA78D4"/>
    <w:rsid w:val="00CB4A95"/>
    <w:rsid w:val="00CC4CDE"/>
    <w:rsid w:val="00CE00EC"/>
    <w:rsid w:val="00CE100C"/>
    <w:rsid w:val="00CE61A7"/>
    <w:rsid w:val="00CF5233"/>
    <w:rsid w:val="00D002DC"/>
    <w:rsid w:val="00D118E0"/>
    <w:rsid w:val="00D133D7"/>
    <w:rsid w:val="00D13C9C"/>
    <w:rsid w:val="00D1507F"/>
    <w:rsid w:val="00D15156"/>
    <w:rsid w:val="00D16E1D"/>
    <w:rsid w:val="00D22483"/>
    <w:rsid w:val="00D2530E"/>
    <w:rsid w:val="00D3415E"/>
    <w:rsid w:val="00D372FC"/>
    <w:rsid w:val="00D43EBC"/>
    <w:rsid w:val="00D61203"/>
    <w:rsid w:val="00D67789"/>
    <w:rsid w:val="00D72888"/>
    <w:rsid w:val="00D73B49"/>
    <w:rsid w:val="00D80FC1"/>
    <w:rsid w:val="00D81807"/>
    <w:rsid w:val="00D85CB3"/>
    <w:rsid w:val="00D87600"/>
    <w:rsid w:val="00DA192D"/>
    <w:rsid w:val="00DA7D71"/>
    <w:rsid w:val="00DB2CD6"/>
    <w:rsid w:val="00DB3646"/>
    <w:rsid w:val="00DB72E9"/>
    <w:rsid w:val="00DC049B"/>
    <w:rsid w:val="00DC0B6B"/>
    <w:rsid w:val="00DC1E15"/>
    <w:rsid w:val="00DC362F"/>
    <w:rsid w:val="00DC5301"/>
    <w:rsid w:val="00DD66F1"/>
    <w:rsid w:val="00DD768E"/>
    <w:rsid w:val="00DE02C9"/>
    <w:rsid w:val="00DF026F"/>
    <w:rsid w:val="00DF4C6E"/>
    <w:rsid w:val="00DF6728"/>
    <w:rsid w:val="00DF6F33"/>
    <w:rsid w:val="00E02DAC"/>
    <w:rsid w:val="00E03FD3"/>
    <w:rsid w:val="00E07214"/>
    <w:rsid w:val="00E163C6"/>
    <w:rsid w:val="00E20F8A"/>
    <w:rsid w:val="00E21A31"/>
    <w:rsid w:val="00E245E6"/>
    <w:rsid w:val="00E266BC"/>
    <w:rsid w:val="00E279A3"/>
    <w:rsid w:val="00E3094F"/>
    <w:rsid w:val="00E37CA7"/>
    <w:rsid w:val="00E4056D"/>
    <w:rsid w:val="00E5489A"/>
    <w:rsid w:val="00E56E4B"/>
    <w:rsid w:val="00E60F1F"/>
    <w:rsid w:val="00E61F5E"/>
    <w:rsid w:val="00E76A06"/>
    <w:rsid w:val="00E81BFB"/>
    <w:rsid w:val="00E938ED"/>
    <w:rsid w:val="00E95FC1"/>
    <w:rsid w:val="00E97919"/>
    <w:rsid w:val="00EB69F5"/>
    <w:rsid w:val="00EB7B8D"/>
    <w:rsid w:val="00EC1589"/>
    <w:rsid w:val="00EC19CD"/>
    <w:rsid w:val="00EC5350"/>
    <w:rsid w:val="00EC7379"/>
    <w:rsid w:val="00ED7056"/>
    <w:rsid w:val="00ED7381"/>
    <w:rsid w:val="00EF36D8"/>
    <w:rsid w:val="00EF3A28"/>
    <w:rsid w:val="00EF4266"/>
    <w:rsid w:val="00F03387"/>
    <w:rsid w:val="00F07D8D"/>
    <w:rsid w:val="00F176BC"/>
    <w:rsid w:val="00F22F63"/>
    <w:rsid w:val="00F3342A"/>
    <w:rsid w:val="00F33FFD"/>
    <w:rsid w:val="00F358B3"/>
    <w:rsid w:val="00F4740C"/>
    <w:rsid w:val="00F5028B"/>
    <w:rsid w:val="00F50EFB"/>
    <w:rsid w:val="00F619F6"/>
    <w:rsid w:val="00F61D1A"/>
    <w:rsid w:val="00F6715C"/>
    <w:rsid w:val="00F71F3B"/>
    <w:rsid w:val="00F72065"/>
    <w:rsid w:val="00F82CBF"/>
    <w:rsid w:val="00F902A0"/>
    <w:rsid w:val="00F90EFE"/>
    <w:rsid w:val="00FA0895"/>
    <w:rsid w:val="00FA160E"/>
    <w:rsid w:val="00FA2AF6"/>
    <w:rsid w:val="00FA4D40"/>
    <w:rsid w:val="00FB704E"/>
    <w:rsid w:val="00FD79AC"/>
    <w:rsid w:val="00FE5C9B"/>
    <w:rsid w:val="00FF29DD"/>
    <w:rsid w:val="00FF34D2"/>
    <w:rsid w:val="00FF3A09"/>
    <w:rsid w:val="00FF4D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A20BE0A"/>
  <w15:docId w15:val="{F3566D24-0208-4006-91FE-DE86B203F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3"/>
    <w:rsid w:val="00AF7C40"/>
    <w:pPr>
      <w:spacing w:after="0" w:line="360" w:lineRule="auto"/>
    </w:pPr>
    <w:rPr>
      <w:rFonts w:ascii="Times New Roman" w:eastAsia="Times New Roman" w:hAnsi="Times New Roman" w:cs="Times New Roman"/>
      <w:szCs w:val="24"/>
      <w:lang w:eastAsia="en-US"/>
    </w:rPr>
  </w:style>
  <w:style w:type="paragraph" w:styleId="1">
    <w:name w:val="heading 1"/>
    <w:basedOn w:val="a"/>
    <w:next w:val="a"/>
    <w:link w:val="10"/>
    <w:uiPriority w:val="9"/>
    <w:rsid w:val="00AF7C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rsid w:val="00AF7C40"/>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rsid w:val="00AF7C40"/>
  </w:style>
  <w:style w:type="character" w:customStyle="1" w:styleId="10">
    <w:name w:val="見出し 1 (文字)"/>
    <w:basedOn w:val="a0"/>
    <w:link w:val="1"/>
    <w:uiPriority w:val="9"/>
    <w:rsid w:val="00AF7C40"/>
    <w:rPr>
      <w:rFonts w:asciiTheme="majorHAnsi" w:eastAsiaTheme="majorEastAsia" w:hAnsiTheme="majorHAnsi" w:cstheme="majorBidi"/>
      <w:b/>
      <w:bCs/>
      <w:color w:val="365F91" w:themeColor="accent1" w:themeShade="BF"/>
      <w:sz w:val="28"/>
      <w:szCs w:val="28"/>
      <w:lang w:eastAsia="en-US"/>
    </w:rPr>
  </w:style>
  <w:style w:type="paragraph" w:customStyle="1" w:styleId="IUCracknowledgements">
    <w:name w:val="IUCr acknowledgements"/>
    <w:next w:val="a"/>
    <w:uiPriority w:val="1"/>
    <w:qFormat/>
    <w:rsid w:val="00AF7C40"/>
    <w:pPr>
      <w:numPr>
        <w:numId w:val="2"/>
      </w:numPr>
      <w:overflowPunct w:val="0"/>
      <w:autoSpaceDE w:val="0"/>
      <w:autoSpaceDN w:val="0"/>
      <w:adjustRightInd w:val="0"/>
      <w:spacing w:before="240" w:after="240" w:line="360" w:lineRule="auto"/>
      <w:textAlignment w:val="baseline"/>
    </w:pPr>
    <w:rPr>
      <w:rFonts w:ascii="Times New Roman" w:eastAsia="Times New Roman" w:hAnsi="Times New Roman" w:cs="Times New Roman"/>
      <w:szCs w:val="20"/>
      <w:lang w:eastAsia="en-US"/>
    </w:rPr>
  </w:style>
  <w:style w:type="paragraph" w:customStyle="1" w:styleId="IUCrappendixheading1">
    <w:name w:val="IUCr appendix heading 1"/>
    <w:next w:val="a"/>
    <w:uiPriority w:val="2"/>
    <w:qFormat/>
    <w:rsid w:val="00AF7C40"/>
    <w:pPr>
      <w:numPr>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2">
    <w:name w:val="IUCr appendix heading 2"/>
    <w:next w:val="a"/>
    <w:uiPriority w:val="2"/>
    <w:qFormat/>
    <w:rsid w:val="00AF7C40"/>
    <w:pPr>
      <w:numPr>
        <w:ilvl w:val="1"/>
        <w:numId w:val="3"/>
      </w:numPr>
      <w:spacing w:before="240" w:after="120" w:line="360" w:lineRule="auto"/>
    </w:pPr>
    <w:rPr>
      <w:rFonts w:ascii="Arial" w:eastAsia="Times New Roman" w:hAnsi="Arial" w:cs="Times New Roman"/>
      <w:b/>
      <w:sz w:val="20"/>
      <w:szCs w:val="20"/>
      <w:lang w:eastAsia="en-US"/>
    </w:rPr>
  </w:style>
  <w:style w:type="paragraph" w:customStyle="1" w:styleId="IUCrappendixheading3">
    <w:name w:val="IUCr appendix heading 3"/>
    <w:next w:val="a"/>
    <w:uiPriority w:val="2"/>
    <w:qFormat/>
    <w:rsid w:val="00AF7C40"/>
    <w:pPr>
      <w:numPr>
        <w:ilvl w:val="2"/>
        <w:numId w:val="3"/>
      </w:numPr>
      <w:spacing w:before="240" w:after="120" w:line="360" w:lineRule="auto"/>
    </w:pPr>
    <w:rPr>
      <w:rFonts w:ascii="Arial" w:eastAsia="Times New Roman" w:hAnsi="Arial" w:cs="Times New Roman"/>
      <w:b/>
      <w:sz w:val="20"/>
      <w:szCs w:val="20"/>
      <w:lang w:eastAsia="en-US"/>
    </w:rPr>
  </w:style>
  <w:style w:type="paragraph" w:customStyle="1" w:styleId="IUCrarticletitle">
    <w:name w:val="IUCr article title"/>
    <w:next w:val="a"/>
    <w:link w:val="IUCrarticletitleChar"/>
    <w:uiPriority w:val="7"/>
    <w:rsid w:val="00AF7C40"/>
    <w:pPr>
      <w:spacing w:after="240" w:line="360" w:lineRule="auto"/>
    </w:pPr>
    <w:rPr>
      <w:rFonts w:ascii="Arial" w:eastAsia="Times New Roman" w:hAnsi="Arial" w:cs="Times New Roman"/>
      <w:b/>
      <w:sz w:val="28"/>
      <w:szCs w:val="20"/>
      <w:lang w:eastAsia="en-US"/>
    </w:rPr>
  </w:style>
  <w:style w:type="paragraph" w:customStyle="1" w:styleId="IUCrbodytext">
    <w:name w:val="IUCr body text"/>
    <w:basedOn w:val="a3"/>
    <w:link w:val="IUCrbodytextChar"/>
    <w:qFormat/>
    <w:rsid w:val="00AF7C40"/>
    <w:pPr>
      <w:spacing w:line="360" w:lineRule="auto"/>
    </w:pPr>
    <w:rPr>
      <w:rFonts w:ascii="Times New Roman" w:hAnsi="Times New Roman" w:cs="Times New Roman"/>
      <w:szCs w:val="24"/>
      <w:lang w:eastAsia="en-US"/>
    </w:rPr>
  </w:style>
  <w:style w:type="paragraph" w:styleId="a3">
    <w:name w:val="Body Text"/>
    <w:basedOn w:val="a"/>
    <w:link w:val="a4"/>
    <w:uiPriority w:val="99"/>
    <w:semiHidden/>
    <w:unhideWhenUsed/>
    <w:rsid w:val="00AF7C40"/>
    <w:pPr>
      <w:spacing w:after="120" w:line="276" w:lineRule="auto"/>
    </w:pPr>
    <w:rPr>
      <w:rFonts w:asciiTheme="minorHAnsi" w:hAnsiTheme="minorHAnsi" w:cstheme="minorBidi"/>
      <w:szCs w:val="22"/>
      <w:lang w:eastAsia="en-GB"/>
    </w:rPr>
  </w:style>
  <w:style w:type="character" w:customStyle="1" w:styleId="a4">
    <w:name w:val="本文 (文字)"/>
    <w:basedOn w:val="a0"/>
    <w:link w:val="a3"/>
    <w:uiPriority w:val="99"/>
    <w:semiHidden/>
    <w:rsid w:val="00AF7C40"/>
    <w:rPr>
      <w:rFonts w:eastAsia="Times New Roman"/>
    </w:rPr>
  </w:style>
  <w:style w:type="paragraph" w:customStyle="1" w:styleId="IUCrfigurecaption">
    <w:name w:val="IUCr figure caption"/>
    <w:next w:val="IUCrbodytext"/>
    <w:uiPriority w:val="1"/>
    <w:qFormat/>
    <w:rsid w:val="00AF7C40"/>
    <w:pPr>
      <w:numPr>
        <w:numId w:val="4"/>
      </w:numPr>
      <w:tabs>
        <w:tab w:val="left" w:pos="964"/>
      </w:tabs>
      <w:spacing w:before="120" w:after="120" w:line="360" w:lineRule="auto"/>
    </w:pPr>
    <w:rPr>
      <w:rFonts w:ascii="Times New Roman" w:eastAsia="Times New Roman" w:hAnsi="Times New Roman" w:cs="Times New Roman"/>
      <w:szCs w:val="20"/>
      <w:lang w:eastAsia="en-US"/>
    </w:rPr>
  </w:style>
  <w:style w:type="paragraph" w:customStyle="1" w:styleId="IUCrheading1">
    <w:name w:val="IUCr heading 1"/>
    <w:next w:val="IUCrbodytext"/>
    <w:qFormat/>
    <w:rsid w:val="00AF7C40"/>
    <w:pPr>
      <w:numPr>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2">
    <w:name w:val="IUCr heading 2"/>
    <w:next w:val="IUCrbodytext"/>
    <w:qFormat/>
    <w:rsid w:val="00AF7C40"/>
    <w:pPr>
      <w:numPr>
        <w:ilvl w:val="1"/>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heading3">
    <w:name w:val="IUCr heading 3"/>
    <w:next w:val="IUCrbodytext"/>
    <w:qFormat/>
    <w:rsid w:val="00AF7C40"/>
    <w:pPr>
      <w:numPr>
        <w:ilvl w:val="2"/>
        <w:numId w:val="5"/>
      </w:numPr>
      <w:overflowPunct w:val="0"/>
      <w:autoSpaceDE w:val="0"/>
      <w:autoSpaceDN w:val="0"/>
      <w:adjustRightInd w:val="0"/>
      <w:spacing w:before="240" w:after="120" w:line="360" w:lineRule="auto"/>
      <w:textAlignment w:val="baseline"/>
    </w:pPr>
    <w:rPr>
      <w:rFonts w:ascii="Arial" w:eastAsia="Times New Roman" w:hAnsi="Arial" w:cs="Times New Roman"/>
      <w:b/>
      <w:sz w:val="20"/>
      <w:szCs w:val="20"/>
      <w:lang w:eastAsia="en-US"/>
    </w:rPr>
  </w:style>
  <w:style w:type="paragraph" w:customStyle="1" w:styleId="IUCrtableheadnote">
    <w:name w:val="IUCr table headnote"/>
    <w:basedOn w:val="IUCrtabletext"/>
    <w:next w:val="IUCrtabletext"/>
    <w:link w:val="IUCrtableheadnoteChar"/>
    <w:qFormat/>
    <w:rsid w:val="00AF7C40"/>
  </w:style>
  <w:style w:type="paragraph" w:customStyle="1" w:styleId="IUCrreferences">
    <w:name w:val="IUCr references"/>
    <w:uiPriority w:val="1"/>
    <w:qFormat/>
    <w:rsid w:val="00AF7C40"/>
    <w:pPr>
      <w:spacing w:after="0" w:line="360" w:lineRule="auto"/>
    </w:pPr>
    <w:rPr>
      <w:rFonts w:ascii="Times New Roman" w:eastAsia="Times New Roman" w:hAnsi="Times New Roman" w:cs="Times New Roman"/>
      <w:szCs w:val="20"/>
      <w:lang w:eastAsia="en-US"/>
    </w:rPr>
  </w:style>
  <w:style w:type="character" w:customStyle="1" w:styleId="IUCrtableheadnoteChar">
    <w:name w:val="IUCr table headnote Char"/>
    <w:basedOn w:val="IUCrtabletextChar"/>
    <w:link w:val="IUCrtableheadnote"/>
    <w:rsid w:val="00AF7C40"/>
    <w:rPr>
      <w:rFonts w:ascii="Times New Roman" w:eastAsia="Times New Roman" w:hAnsi="Times New Roman" w:cs="Times New Roman"/>
      <w:sz w:val="20"/>
      <w:szCs w:val="24"/>
      <w:lang w:eastAsia="en-US"/>
    </w:rPr>
  </w:style>
  <w:style w:type="paragraph" w:customStyle="1" w:styleId="IUCrtablecaption">
    <w:name w:val="IUCr table caption"/>
    <w:next w:val="a"/>
    <w:qFormat/>
    <w:rsid w:val="00AF7C40"/>
    <w:pPr>
      <w:numPr>
        <w:numId w:val="10"/>
      </w:numPr>
      <w:tabs>
        <w:tab w:val="left" w:pos="964"/>
      </w:tabs>
      <w:spacing w:before="240" w:after="120" w:line="360" w:lineRule="auto"/>
    </w:pPr>
    <w:rPr>
      <w:rFonts w:ascii="Times New Roman" w:eastAsia="Times New Roman" w:hAnsi="Times New Roman" w:cs="Times New Roman"/>
      <w:szCs w:val="20"/>
      <w:lang w:eastAsia="en-US"/>
    </w:rPr>
  </w:style>
  <w:style w:type="character" w:styleId="a5">
    <w:name w:val="Placeholder Text"/>
    <w:basedOn w:val="a0"/>
    <w:uiPriority w:val="99"/>
    <w:semiHidden/>
    <w:rsid w:val="00AF7C40"/>
    <w:rPr>
      <w:color w:val="808080"/>
    </w:rPr>
  </w:style>
  <w:style w:type="character" w:customStyle="1" w:styleId="IUCraddress">
    <w:name w:val="IUCr address"/>
    <w:uiPriority w:val="3"/>
    <w:rsid w:val="00AF7C40"/>
    <w:rPr>
      <w:rFonts w:ascii="Arial" w:hAnsi="Arial"/>
      <w:sz w:val="20"/>
    </w:rPr>
  </w:style>
  <w:style w:type="character" w:customStyle="1" w:styleId="IUCrauthor">
    <w:name w:val="IUCr author"/>
    <w:uiPriority w:val="3"/>
    <w:rsid w:val="00AF7C40"/>
    <w:rPr>
      <w:rFonts w:ascii="Arial" w:hAnsi="Arial"/>
      <w:b/>
      <w:sz w:val="20"/>
    </w:rPr>
  </w:style>
  <w:style w:type="character" w:customStyle="1" w:styleId="IUCrarticletitleChar">
    <w:name w:val="IUCr article title Char"/>
    <w:basedOn w:val="a0"/>
    <w:link w:val="IUCrarticletitle"/>
    <w:uiPriority w:val="7"/>
    <w:rsid w:val="00AF7C40"/>
    <w:rPr>
      <w:rFonts w:ascii="Arial" w:eastAsia="Times New Roman" w:hAnsi="Arial" w:cs="Times New Roman"/>
      <w:b/>
      <w:sz w:val="28"/>
      <w:szCs w:val="20"/>
      <w:lang w:eastAsia="en-US"/>
    </w:rPr>
  </w:style>
  <w:style w:type="character" w:customStyle="1" w:styleId="IUCrbodytextChar">
    <w:name w:val="IUCr body text Char"/>
    <w:basedOn w:val="a4"/>
    <w:link w:val="IUCrbodytext"/>
    <w:rsid w:val="00AF7C40"/>
    <w:rPr>
      <w:rFonts w:ascii="Times New Roman" w:eastAsia="Times New Roman" w:hAnsi="Times New Roman" w:cs="Times New Roman"/>
      <w:szCs w:val="24"/>
      <w:lang w:eastAsia="en-US"/>
    </w:rPr>
  </w:style>
  <w:style w:type="paragraph" w:customStyle="1" w:styleId="IUCrtitle">
    <w:name w:val="IUCr title"/>
    <w:basedOn w:val="IUCrarticletitle"/>
    <w:next w:val="a"/>
    <w:uiPriority w:val="3"/>
    <w:rsid w:val="00AF7C40"/>
  </w:style>
  <w:style w:type="character" w:styleId="a6">
    <w:name w:val="Hyperlink"/>
    <w:basedOn w:val="a0"/>
    <w:uiPriority w:val="99"/>
    <w:unhideWhenUsed/>
    <w:rsid w:val="00AF7C40"/>
    <w:rPr>
      <w:color w:val="0000FF" w:themeColor="hyperlink"/>
      <w:u w:val="none"/>
    </w:rPr>
  </w:style>
  <w:style w:type="paragraph" w:customStyle="1" w:styleId="IUCrsansparagraph">
    <w:name w:val="IUCr sans paragraph"/>
    <w:basedOn w:val="a"/>
    <w:uiPriority w:val="3"/>
    <w:rsid w:val="00AF7C40"/>
    <w:pPr>
      <w:spacing w:after="240"/>
    </w:pPr>
    <w:rPr>
      <w:rFonts w:ascii="Arial" w:hAnsi="Arial"/>
      <w:sz w:val="20"/>
    </w:rPr>
  </w:style>
  <w:style w:type="character" w:customStyle="1" w:styleId="IUCrsanstext">
    <w:name w:val="IUCr sans text"/>
    <w:basedOn w:val="IUCraddress"/>
    <w:uiPriority w:val="3"/>
    <w:rsid w:val="00AF7C40"/>
    <w:rPr>
      <w:rFonts w:ascii="Arial" w:hAnsi="Arial"/>
      <w:sz w:val="20"/>
    </w:rPr>
  </w:style>
  <w:style w:type="character" w:customStyle="1" w:styleId="IUCrsanstextgrey">
    <w:name w:val="IUCr sans text grey"/>
    <w:basedOn w:val="IUCrsanstext"/>
    <w:uiPriority w:val="3"/>
    <w:rsid w:val="00AF7C40"/>
    <w:rPr>
      <w:rFonts w:ascii="Arial" w:hAnsi="Arial"/>
      <w:color w:val="7F7F7F" w:themeColor="text1" w:themeTint="80"/>
      <w:sz w:val="20"/>
    </w:rPr>
  </w:style>
  <w:style w:type="paragraph" w:customStyle="1" w:styleId="IUCrheading4">
    <w:name w:val="IUCr heading 4"/>
    <w:basedOn w:val="IUCrsansparagraph"/>
    <w:next w:val="IUCrbodytext"/>
    <w:rsid w:val="00AF7C40"/>
    <w:pPr>
      <w:spacing w:before="240" w:after="120"/>
    </w:pPr>
    <w:rPr>
      <w:b/>
    </w:rPr>
  </w:style>
  <w:style w:type="character" w:customStyle="1" w:styleId="IUCrsanstextbold">
    <w:name w:val="IUCr sans text bold"/>
    <w:basedOn w:val="IUCrsanstext"/>
    <w:uiPriority w:val="3"/>
    <w:rsid w:val="00AF7C40"/>
    <w:rPr>
      <w:rFonts w:ascii="Arial" w:hAnsi="Arial"/>
      <w:b/>
      <w:sz w:val="20"/>
    </w:rPr>
  </w:style>
  <w:style w:type="paragraph" w:styleId="a7">
    <w:name w:val="header"/>
    <w:basedOn w:val="a"/>
    <w:link w:val="a8"/>
    <w:uiPriority w:val="99"/>
    <w:unhideWhenUsed/>
    <w:rsid w:val="00AF7C40"/>
    <w:pPr>
      <w:tabs>
        <w:tab w:val="center" w:pos="4513"/>
        <w:tab w:val="right" w:pos="9026"/>
      </w:tabs>
    </w:pPr>
  </w:style>
  <w:style w:type="character" w:customStyle="1" w:styleId="a8">
    <w:name w:val="ヘッダー (文字)"/>
    <w:basedOn w:val="a0"/>
    <w:link w:val="a7"/>
    <w:uiPriority w:val="99"/>
    <w:rsid w:val="00AF7C40"/>
    <w:rPr>
      <w:rFonts w:ascii="Times New Roman" w:eastAsia="Times New Roman" w:hAnsi="Times New Roman" w:cs="Times New Roman"/>
      <w:szCs w:val="24"/>
      <w:lang w:eastAsia="en-US"/>
    </w:rPr>
  </w:style>
  <w:style w:type="paragraph" w:styleId="a9">
    <w:name w:val="footer"/>
    <w:basedOn w:val="a"/>
    <w:link w:val="aa"/>
    <w:uiPriority w:val="99"/>
    <w:unhideWhenUsed/>
    <w:rsid w:val="00AF7C40"/>
    <w:pPr>
      <w:tabs>
        <w:tab w:val="center" w:pos="4513"/>
        <w:tab w:val="right" w:pos="9026"/>
      </w:tabs>
    </w:pPr>
  </w:style>
  <w:style w:type="character" w:customStyle="1" w:styleId="aa">
    <w:name w:val="フッター (文字)"/>
    <w:basedOn w:val="a0"/>
    <w:link w:val="a9"/>
    <w:uiPriority w:val="99"/>
    <w:rsid w:val="00AF7C40"/>
    <w:rPr>
      <w:rFonts w:ascii="Times New Roman" w:eastAsia="Times New Roman" w:hAnsi="Times New Roman" w:cs="Times New Roman"/>
      <w:szCs w:val="24"/>
      <w:lang w:eastAsia="en-US"/>
    </w:rPr>
  </w:style>
  <w:style w:type="paragraph" w:customStyle="1" w:styleId="IUCrtablefootnote">
    <w:name w:val="IUCr table footnote"/>
    <w:basedOn w:val="IUCrtabletext"/>
    <w:next w:val="IUCrbodytext"/>
    <w:link w:val="IUCrtablefootnoteChar"/>
    <w:qFormat/>
    <w:rsid w:val="00AF7C40"/>
  </w:style>
  <w:style w:type="character" w:customStyle="1" w:styleId="IUCrsanstextsmall">
    <w:name w:val="IUCr sans text small"/>
    <w:basedOn w:val="IUCrsanstext"/>
    <w:uiPriority w:val="3"/>
    <w:rsid w:val="00AF7C40"/>
    <w:rPr>
      <w:rFonts w:ascii="Arial" w:hAnsi="Arial"/>
      <w:sz w:val="16"/>
    </w:rPr>
  </w:style>
  <w:style w:type="paragraph" w:customStyle="1" w:styleId="IUCrtabletext">
    <w:name w:val="IUCr table text"/>
    <w:basedOn w:val="IUCrbodytext"/>
    <w:link w:val="IUCrtabletextChar"/>
    <w:qFormat/>
    <w:rsid w:val="00AF7C40"/>
    <w:rPr>
      <w:sz w:val="20"/>
    </w:rPr>
  </w:style>
  <w:style w:type="character" w:customStyle="1" w:styleId="IUCrtabletextChar">
    <w:name w:val="IUCr table text Char"/>
    <w:basedOn w:val="IUCrbodytextChar"/>
    <w:link w:val="IUCrtabletext"/>
    <w:rsid w:val="00AF7C40"/>
    <w:rPr>
      <w:rFonts w:ascii="Times New Roman" w:eastAsia="Times New Roman" w:hAnsi="Times New Roman" w:cs="Times New Roman"/>
      <w:sz w:val="20"/>
      <w:szCs w:val="24"/>
      <w:lang w:eastAsia="en-US"/>
    </w:rPr>
  </w:style>
  <w:style w:type="character" w:customStyle="1" w:styleId="IUCrtablefootnoteChar">
    <w:name w:val="IUCr table footnote Char"/>
    <w:basedOn w:val="IUCrtabletextChar"/>
    <w:link w:val="IUCrtablefootnote"/>
    <w:rsid w:val="00AF7C40"/>
    <w:rPr>
      <w:rFonts w:ascii="Times New Roman" w:eastAsia="Times New Roman" w:hAnsi="Times New Roman" w:cs="Times New Roman"/>
      <w:sz w:val="20"/>
      <w:szCs w:val="24"/>
      <w:lang w:eastAsia="en-US"/>
    </w:rPr>
  </w:style>
  <w:style w:type="table" w:customStyle="1" w:styleId="IUCrtable">
    <w:name w:val="IUCr table"/>
    <w:basedOn w:val="a1"/>
    <w:uiPriority w:val="99"/>
    <w:rsid w:val="00AF7C40"/>
    <w:pPr>
      <w:spacing w:after="0" w:line="240" w:lineRule="auto"/>
    </w:pPr>
    <w:rPr>
      <w:sz w:val="20"/>
    </w:rPr>
    <w:tblPr>
      <w:tblInd w:w="170" w:type="dxa"/>
      <w:tblBorders>
        <w:top w:val="single" w:sz="4" w:space="0" w:color="auto"/>
        <w:bottom w:val="single" w:sz="4" w:space="0" w:color="auto"/>
      </w:tblBorders>
    </w:tblPr>
  </w:style>
  <w:style w:type="table" w:styleId="ab">
    <w:name w:val="Table Grid"/>
    <w:basedOn w:val="a1"/>
    <w:uiPriority w:val="59"/>
    <w:rsid w:val="00AF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UCrsanstextgreysmall">
    <w:name w:val="IUCr sans text grey small"/>
    <w:basedOn w:val="IUCrsanstextgrey"/>
    <w:uiPriority w:val="1"/>
    <w:rsid w:val="00AF7C40"/>
    <w:rPr>
      <w:rFonts w:ascii="Arial" w:hAnsi="Arial"/>
      <w:color w:val="7F7F7F" w:themeColor="text1" w:themeTint="80"/>
      <w:sz w:val="16"/>
    </w:rPr>
  </w:style>
  <w:style w:type="paragraph" w:customStyle="1" w:styleId="IUCrsupfigurecaption">
    <w:name w:val="IUCr sup figure caption"/>
    <w:basedOn w:val="IUCrfigurecaption"/>
    <w:qFormat/>
    <w:rsid w:val="00AF7C40"/>
    <w:pPr>
      <w:numPr>
        <w:numId w:val="8"/>
      </w:numPr>
      <w:tabs>
        <w:tab w:val="clear" w:pos="964"/>
        <w:tab w:val="left" w:pos="1134"/>
        <w:tab w:val="left" w:pos="1191"/>
        <w:tab w:val="left" w:pos="1440"/>
      </w:tabs>
    </w:pPr>
  </w:style>
  <w:style w:type="paragraph" w:customStyle="1" w:styleId="IUCrsupheading1">
    <w:name w:val="IUCr sup heading 1"/>
    <w:basedOn w:val="IUCrheading1"/>
    <w:next w:val="IUCrbodytext"/>
    <w:qFormat/>
    <w:rsid w:val="00AF7C40"/>
    <w:pPr>
      <w:numPr>
        <w:numId w:val="9"/>
      </w:numPr>
    </w:pPr>
  </w:style>
  <w:style w:type="paragraph" w:customStyle="1" w:styleId="IUCrsupheading2">
    <w:name w:val="IUCr sup heading 2"/>
    <w:basedOn w:val="IUCrheading2"/>
    <w:next w:val="IUCrbodytext"/>
    <w:qFormat/>
    <w:rsid w:val="00AF7C40"/>
    <w:pPr>
      <w:numPr>
        <w:numId w:val="9"/>
      </w:numPr>
    </w:pPr>
    <w:rPr>
      <w:rFonts w:cstheme="minorBidi"/>
      <w:szCs w:val="22"/>
      <w:lang w:eastAsia="en-GB"/>
    </w:rPr>
  </w:style>
  <w:style w:type="paragraph" w:customStyle="1" w:styleId="IUCrsupheading3">
    <w:name w:val="IUCr sup heading 3"/>
    <w:basedOn w:val="IUCrheading3"/>
    <w:next w:val="IUCrbodytext"/>
    <w:qFormat/>
    <w:rsid w:val="00AF7C40"/>
    <w:pPr>
      <w:numPr>
        <w:numId w:val="9"/>
      </w:numPr>
    </w:pPr>
  </w:style>
  <w:style w:type="paragraph" w:customStyle="1" w:styleId="IUCrsuptablecaption">
    <w:name w:val="IUCr sup table caption"/>
    <w:basedOn w:val="IUCrtablecaption"/>
    <w:next w:val="IUCrtableheadnote"/>
    <w:qFormat/>
    <w:rsid w:val="00AF7C40"/>
    <w:pPr>
      <w:numPr>
        <w:numId w:val="11"/>
      </w:numPr>
      <w:tabs>
        <w:tab w:val="clear" w:pos="964"/>
        <w:tab w:val="left" w:pos="1191"/>
        <w:tab w:val="left" w:pos="1440"/>
      </w:tabs>
    </w:pPr>
  </w:style>
  <w:style w:type="paragraph" w:customStyle="1" w:styleId="IUCrsuptitle">
    <w:name w:val="IUCr sup title"/>
    <w:basedOn w:val="IUCrtitle"/>
    <w:next w:val="IUCrbodytext"/>
    <w:link w:val="IUCrsuptitleChar"/>
    <w:qFormat/>
    <w:rsid w:val="00AF7C40"/>
    <w:rPr>
      <w:sz w:val="32"/>
    </w:rPr>
  </w:style>
  <w:style w:type="paragraph" w:customStyle="1" w:styleId="IUCrabstract">
    <w:name w:val="IUCr abstract"/>
    <w:next w:val="a"/>
    <w:uiPriority w:val="7"/>
    <w:rsid w:val="00AF7C40"/>
    <w:pPr>
      <w:numPr>
        <w:numId w:val="1"/>
      </w:numPr>
      <w:overflowPunct w:val="0"/>
      <w:autoSpaceDE w:val="0"/>
      <w:autoSpaceDN w:val="0"/>
      <w:adjustRightInd w:val="0"/>
      <w:spacing w:after="240" w:line="360" w:lineRule="auto"/>
      <w:jc w:val="both"/>
      <w:textAlignment w:val="baseline"/>
    </w:pPr>
    <w:rPr>
      <w:rFonts w:ascii="Times New Roman" w:eastAsia="Times New Roman" w:hAnsi="Times New Roman" w:cs="Times New Roman"/>
      <w:szCs w:val="20"/>
      <w:lang w:eastAsia="en-US"/>
    </w:rPr>
  </w:style>
  <w:style w:type="paragraph" w:customStyle="1" w:styleId="IUCrkeywords">
    <w:name w:val="IUCr keywords"/>
    <w:next w:val="IUCrheading1"/>
    <w:uiPriority w:val="7"/>
    <w:rsid w:val="00AF7C40"/>
    <w:pPr>
      <w:numPr>
        <w:numId w:val="6"/>
      </w:numPr>
      <w:tabs>
        <w:tab w:val="left" w:pos="1134"/>
      </w:tabs>
      <w:spacing w:after="240" w:line="240" w:lineRule="auto"/>
    </w:pPr>
    <w:rPr>
      <w:rFonts w:ascii="Arial" w:eastAsia="Times New Roman" w:hAnsi="Arial" w:cs="Times New Roman"/>
      <w:b/>
      <w:sz w:val="20"/>
      <w:szCs w:val="20"/>
      <w:lang w:eastAsia="en-US"/>
    </w:rPr>
  </w:style>
  <w:style w:type="character" w:customStyle="1" w:styleId="IUCrsanstextgreybold">
    <w:name w:val="IUCr sans text grey bold"/>
    <w:basedOn w:val="IUCrsanstextgrey"/>
    <w:uiPriority w:val="1"/>
    <w:qFormat/>
    <w:rsid w:val="00AF7C40"/>
    <w:rPr>
      <w:rFonts w:ascii="Arial" w:hAnsi="Arial"/>
      <w:b/>
      <w:color w:val="7F7F7F" w:themeColor="text1" w:themeTint="80"/>
      <w:sz w:val="20"/>
    </w:rPr>
  </w:style>
  <w:style w:type="character" w:customStyle="1" w:styleId="IUCrsanstextgreyitalic">
    <w:name w:val="IUCr sans text grey italic"/>
    <w:basedOn w:val="IUCrsanstextgrey"/>
    <w:uiPriority w:val="1"/>
    <w:qFormat/>
    <w:rsid w:val="00AF7C40"/>
    <w:rPr>
      <w:rFonts w:ascii="Arial" w:hAnsi="Arial"/>
      <w:i/>
      <w:color w:val="7F7F7F" w:themeColor="text1" w:themeTint="80"/>
      <w:sz w:val="20"/>
    </w:rPr>
  </w:style>
  <w:style w:type="numbering" w:customStyle="1" w:styleId="IUCrsup">
    <w:name w:val="IUCr sup"/>
    <w:uiPriority w:val="99"/>
    <w:rsid w:val="00AF7C40"/>
    <w:pPr>
      <w:numPr>
        <w:numId w:val="7"/>
      </w:numPr>
    </w:pPr>
  </w:style>
  <w:style w:type="paragraph" w:customStyle="1" w:styleId="IUCrsynopsis">
    <w:name w:val="IUCr synopsis"/>
    <w:basedOn w:val="IUCrabstract"/>
    <w:next w:val="IUCrabstract"/>
    <w:uiPriority w:val="7"/>
    <w:rsid w:val="00AF7C40"/>
    <w:pPr>
      <w:numPr>
        <w:numId w:val="12"/>
      </w:numPr>
      <w:spacing w:before="240"/>
    </w:pPr>
  </w:style>
  <w:style w:type="character" w:customStyle="1" w:styleId="IUCrsuptitleChar">
    <w:name w:val="IUCr sup title Char"/>
    <w:basedOn w:val="IUCrarticletitleChar"/>
    <w:link w:val="IUCrsuptitle"/>
    <w:locked/>
    <w:rsid w:val="006718BF"/>
    <w:rPr>
      <w:rFonts w:ascii="Arial" w:eastAsia="Times New Roman" w:hAnsi="Arial" w:cs="Times New Roman"/>
      <w:b/>
      <w:sz w:val="32"/>
      <w:szCs w:val="20"/>
      <w:lang w:eastAsia="en-US"/>
    </w:rPr>
  </w:style>
  <w:style w:type="table" w:customStyle="1" w:styleId="TableNormal">
    <w:name w:val="Table Normal"/>
    <w:uiPriority w:val="99"/>
    <w:semiHidden/>
    <w:qFormat/>
    <w:rsid w:val="006718BF"/>
    <w:rPr>
      <w:lang w:val="en-US" w:eastAsia="ja-JP"/>
    </w:rPr>
    <w:tblPr>
      <w:tblCellMar>
        <w:top w:w="0" w:type="dxa"/>
        <w:left w:w="108" w:type="dxa"/>
        <w:bottom w:w="0" w:type="dxa"/>
        <w:right w:w="108" w:type="dxa"/>
      </w:tblCellMar>
    </w:tblPr>
  </w:style>
  <w:style w:type="paragraph" w:customStyle="1" w:styleId="IUCrsanstext1">
    <w:name w:val="IUCr sans text1"/>
    <w:basedOn w:val="a"/>
    <w:uiPriority w:val="3"/>
    <w:rsid w:val="006718BF"/>
    <w:pPr>
      <w:spacing w:before="100" w:beforeAutospacing="1" w:after="100" w:afterAutospacing="1" w:line="240" w:lineRule="auto"/>
    </w:pPr>
    <w:rPr>
      <w:rFonts w:ascii="Arial" w:eastAsiaTheme="minorEastAsia" w:hAnsi="Arial" w:cs="Arial"/>
      <w:sz w:val="20"/>
      <w:lang w:val="en-US" w:eastAsia="ja-JP"/>
    </w:rPr>
  </w:style>
  <w:style w:type="paragraph" w:customStyle="1" w:styleId="IUCrsanstextbold1">
    <w:name w:val="IUCr sans text bold1"/>
    <w:basedOn w:val="a"/>
    <w:uiPriority w:val="3"/>
    <w:rsid w:val="006718BF"/>
    <w:pPr>
      <w:spacing w:before="100" w:beforeAutospacing="1" w:after="100" w:afterAutospacing="1" w:line="240" w:lineRule="auto"/>
    </w:pPr>
    <w:rPr>
      <w:rFonts w:ascii="Arial" w:eastAsiaTheme="minorEastAsia" w:hAnsi="Arial" w:cs="Arial"/>
      <w:b/>
      <w:sz w:val="20"/>
      <w:lang w:val="en-US" w:eastAsia="ja-JP"/>
    </w:rPr>
  </w:style>
  <w:style w:type="paragraph" w:styleId="Web">
    <w:name w:val="Normal (Web)"/>
    <w:basedOn w:val="a"/>
    <w:uiPriority w:val="99"/>
    <w:unhideWhenUsed/>
    <w:rsid w:val="00BA77DF"/>
    <w:pPr>
      <w:spacing w:before="100" w:beforeAutospacing="1" w:after="100" w:afterAutospacing="1" w:line="240" w:lineRule="auto"/>
    </w:pPr>
    <w:rPr>
      <w:rFonts w:ascii="ＭＳ Ｐゴシック" w:eastAsia="ＭＳ Ｐゴシック" w:hAnsi="ＭＳ Ｐゴシック" w:cs="ＭＳ Ｐゴシック"/>
      <w:sz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274">
      <w:bodyDiv w:val="1"/>
      <w:marLeft w:val="0"/>
      <w:marRight w:val="0"/>
      <w:marTop w:val="0"/>
      <w:marBottom w:val="0"/>
      <w:divBdr>
        <w:top w:val="none" w:sz="0" w:space="0" w:color="auto"/>
        <w:left w:val="none" w:sz="0" w:space="0" w:color="auto"/>
        <w:bottom w:val="none" w:sz="0" w:space="0" w:color="auto"/>
        <w:right w:val="none" w:sz="0" w:space="0" w:color="auto"/>
      </w:divBdr>
    </w:div>
    <w:div w:id="480853178">
      <w:bodyDiv w:val="1"/>
      <w:marLeft w:val="0"/>
      <w:marRight w:val="0"/>
      <w:marTop w:val="0"/>
      <w:marBottom w:val="0"/>
      <w:divBdr>
        <w:top w:val="none" w:sz="0" w:space="0" w:color="auto"/>
        <w:left w:val="none" w:sz="0" w:space="0" w:color="auto"/>
        <w:bottom w:val="none" w:sz="0" w:space="0" w:color="auto"/>
        <w:right w:val="none" w:sz="0" w:space="0" w:color="auto"/>
      </w:divBdr>
    </w:div>
    <w:div w:id="521432949">
      <w:bodyDiv w:val="1"/>
      <w:marLeft w:val="0"/>
      <w:marRight w:val="0"/>
      <w:marTop w:val="0"/>
      <w:marBottom w:val="0"/>
      <w:divBdr>
        <w:top w:val="none" w:sz="0" w:space="0" w:color="auto"/>
        <w:left w:val="none" w:sz="0" w:space="0" w:color="auto"/>
        <w:bottom w:val="none" w:sz="0" w:space="0" w:color="auto"/>
        <w:right w:val="none" w:sz="0" w:space="0" w:color="auto"/>
      </w:divBdr>
    </w:div>
    <w:div w:id="529488751">
      <w:bodyDiv w:val="1"/>
      <w:marLeft w:val="0"/>
      <w:marRight w:val="0"/>
      <w:marTop w:val="0"/>
      <w:marBottom w:val="0"/>
      <w:divBdr>
        <w:top w:val="none" w:sz="0" w:space="0" w:color="auto"/>
        <w:left w:val="none" w:sz="0" w:space="0" w:color="auto"/>
        <w:bottom w:val="none" w:sz="0" w:space="0" w:color="auto"/>
        <w:right w:val="none" w:sz="0" w:space="0" w:color="auto"/>
      </w:divBdr>
    </w:div>
    <w:div w:id="688408044">
      <w:bodyDiv w:val="1"/>
      <w:marLeft w:val="0"/>
      <w:marRight w:val="0"/>
      <w:marTop w:val="0"/>
      <w:marBottom w:val="0"/>
      <w:divBdr>
        <w:top w:val="none" w:sz="0" w:space="0" w:color="auto"/>
        <w:left w:val="none" w:sz="0" w:space="0" w:color="auto"/>
        <w:bottom w:val="none" w:sz="0" w:space="0" w:color="auto"/>
        <w:right w:val="none" w:sz="0" w:space="0" w:color="auto"/>
      </w:divBdr>
    </w:div>
    <w:div w:id="710033323">
      <w:bodyDiv w:val="1"/>
      <w:marLeft w:val="0"/>
      <w:marRight w:val="0"/>
      <w:marTop w:val="0"/>
      <w:marBottom w:val="0"/>
      <w:divBdr>
        <w:top w:val="none" w:sz="0" w:space="0" w:color="auto"/>
        <w:left w:val="none" w:sz="0" w:space="0" w:color="auto"/>
        <w:bottom w:val="none" w:sz="0" w:space="0" w:color="auto"/>
        <w:right w:val="none" w:sz="0" w:space="0" w:color="auto"/>
      </w:divBdr>
    </w:div>
    <w:div w:id="780882076">
      <w:bodyDiv w:val="1"/>
      <w:marLeft w:val="0"/>
      <w:marRight w:val="0"/>
      <w:marTop w:val="0"/>
      <w:marBottom w:val="0"/>
      <w:divBdr>
        <w:top w:val="none" w:sz="0" w:space="0" w:color="auto"/>
        <w:left w:val="none" w:sz="0" w:space="0" w:color="auto"/>
        <w:bottom w:val="none" w:sz="0" w:space="0" w:color="auto"/>
        <w:right w:val="none" w:sz="0" w:space="0" w:color="auto"/>
      </w:divBdr>
    </w:div>
    <w:div w:id="827673358">
      <w:bodyDiv w:val="1"/>
      <w:marLeft w:val="0"/>
      <w:marRight w:val="0"/>
      <w:marTop w:val="0"/>
      <w:marBottom w:val="0"/>
      <w:divBdr>
        <w:top w:val="none" w:sz="0" w:space="0" w:color="auto"/>
        <w:left w:val="none" w:sz="0" w:space="0" w:color="auto"/>
        <w:bottom w:val="none" w:sz="0" w:space="0" w:color="auto"/>
        <w:right w:val="none" w:sz="0" w:space="0" w:color="auto"/>
      </w:divBdr>
    </w:div>
    <w:div w:id="935594282">
      <w:bodyDiv w:val="1"/>
      <w:marLeft w:val="0"/>
      <w:marRight w:val="0"/>
      <w:marTop w:val="0"/>
      <w:marBottom w:val="0"/>
      <w:divBdr>
        <w:top w:val="none" w:sz="0" w:space="0" w:color="auto"/>
        <w:left w:val="none" w:sz="0" w:space="0" w:color="auto"/>
        <w:bottom w:val="none" w:sz="0" w:space="0" w:color="auto"/>
        <w:right w:val="none" w:sz="0" w:space="0" w:color="auto"/>
      </w:divBdr>
    </w:div>
    <w:div w:id="957105905">
      <w:bodyDiv w:val="1"/>
      <w:marLeft w:val="0"/>
      <w:marRight w:val="0"/>
      <w:marTop w:val="0"/>
      <w:marBottom w:val="0"/>
      <w:divBdr>
        <w:top w:val="none" w:sz="0" w:space="0" w:color="auto"/>
        <w:left w:val="none" w:sz="0" w:space="0" w:color="auto"/>
        <w:bottom w:val="none" w:sz="0" w:space="0" w:color="auto"/>
        <w:right w:val="none" w:sz="0" w:space="0" w:color="auto"/>
      </w:divBdr>
    </w:div>
    <w:div w:id="1812668124">
      <w:bodyDiv w:val="1"/>
      <w:marLeft w:val="0"/>
      <w:marRight w:val="0"/>
      <w:marTop w:val="0"/>
      <w:marBottom w:val="0"/>
      <w:divBdr>
        <w:top w:val="none" w:sz="0" w:space="0" w:color="auto"/>
        <w:left w:val="none" w:sz="0" w:space="0" w:color="auto"/>
        <w:bottom w:val="none" w:sz="0" w:space="0" w:color="auto"/>
        <w:right w:val="none" w:sz="0" w:space="0" w:color="auto"/>
      </w:divBdr>
    </w:div>
    <w:div w:id="196688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uga\AppData\Roaming\Microsoft\Templates\iucrpubltools_w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iucr:publsections xmlns:iucr="http://www.iucr.org/publsections">
  <synopsis/>
  <abstract>Westrip</abstract>
</iucr:publsections>
</file>

<file path=customXml/item2.xml><?xml version="1.0" encoding="utf-8"?>
<b:Sources xmlns:b="http://schemas.openxmlformats.org/officeDocument/2006/bibliography" xmlns="http://schemas.openxmlformats.org/officeDocument/2006/bibliography" SelectedStyle="\HarvardIUCr.XSL" StyleName="IUCr Journals*"/>
</file>

<file path=customXml/itemProps1.xml><?xml version="1.0" encoding="utf-8"?>
<ds:datastoreItem xmlns:ds="http://schemas.openxmlformats.org/officeDocument/2006/customXml" ds:itemID="{21A7AC5C-F356-4DE3-A894-94C718B5FE3F}">
  <ds:schemaRefs>
    <ds:schemaRef ds:uri="http://www.iucr.org/publsections"/>
  </ds:schemaRefs>
</ds:datastoreItem>
</file>

<file path=customXml/itemProps2.xml><?xml version="1.0" encoding="utf-8"?>
<ds:datastoreItem xmlns:ds="http://schemas.openxmlformats.org/officeDocument/2006/customXml" ds:itemID="{06916C13-82C5-44C4-BE5B-79AD685A3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iucrpubltools_wm</Template>
  <TotalTime>293</TotalTime>
  <Pages>17</Pages>
  <Words>4313</Words>
  <Characters>24589</Characters>
  <Application>Microsoft Office Word</Application>
  <DocSecurity>0</DocSecurity>
  <Lines>204</Lines>
  <Paragraphs>57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_x000d_</vt:lpstr>
      <vt:lpstr>_x000d_</vt:lpstr>
    </vt:vector>
  </TitlesOfParts>
  <Company/>
  <LinksUpToDate>false</LinksUpToDate>
  <CharactersWithSpaces>28845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_x000d_</dc:title>
  <dc:subject/>
  <dc:creator>Ralph John Ugalino</dc:creator>
  <cp:keywords/>
  <dc:description/>
  <cp:lastModifiedBy>Ralph John Ugalino</cp:lastModifiedBy>
  <cp:revision>310</cp:revision>
  <dcterms:created xsi:type="dcterms:W3CDTF">2023-12-18T09:03:00Z</dcterms:created>
  <dcterms:modified xsi:type="dcterms:W3CDTF">2024-01-16T00:23:00Z</dcterms:modified>
</cp:coreProperties>
</file>